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shows substantial prognostic heterogeneity. We screened GSE122482 (10 paired HBV-related tumour and peritumour tissues), identified 103 differentially expressed circRNAs, and evaluated their </w:t>
      </w:r>
      <w:r>
        <w:rPr>
          <w:rFonts w:ascii="Times New Roman" w:hAnsi="Times New Roman"/>
          <w:b/>
          <w:i w:val="0"/>
          <w:sz w:val="24"/>
        </w:rPr>
        <w:t>host-gene mRNAs</w:t>
      </w:r>
      <w:r>
        <w:rPr>
          <w:rFonts w:ascii="Times New Roman" w:hAnsi="Times New Roman"/>
          <w:b w:val="0"/>
          <w:i w:val="0"/>
          <w:sz w:val="24"/>
        </w:rPr>
        <w:t xml:space="preserve"> in TCGA-LIHC (377 primary tumours) and GSE14520 (247 tumours). The circRNA–miRNA network comprised 15,479 deduplicated edges, 2,378 miRNAs, 79 circRNAs and 73 genes. Of the host genes, 40 were significant in TCGA and 34 of the 45 evaluable in both cohorts showed concordant direction (76%); six met the validation criterion.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1.39, P = 0.0004; 1.27, P = 0.018); HSD17B6 reached significance in GSE14520 (0.80, P = 0.033) but not TCGA (P = 0.052); the remaining four were not significant. Neither cohort contains circRNA data and GSE122482 provides no matched mRNA quantification, so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92,204 features yielded 2 of 103 candidates at FDR &lt; 0.05, against 5,649 of 92,204 at uncorrected P &lt; 0.05. ENCORI/starBase comparison showed minimal overlap between prediction sources (Jaccard 0.000–0.035), so connectivity-based support reflects internal consistency of one resource, not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internal-consistency grade for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comment.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40 host genes was significantly associated with overall survival (Cox regression P &lt; 0.05), of which 26 were significant by both Cox regression and the log-rank test.</w:t>
      </w:r>
    </w:p>
    <w:p>
      <w:pPr>
        <w:spacing w:line="240" w:lineRule="auto" w:before="0" w:after="120"/>
      </w:pPr>
      <w:r>
        <w:rPr>
          <w:rFonts w:ascii="Times New Roman" w:hAnsi="Times New Roman"/>
          <w:b w:val="0"/>
          <w:i w:val="0"/>
          <w:sz w:val="24"/>
        </w:rPr>
        <w:t>Independent evaluation in GSE14520 was possible for 45 of the 87 host genes analysed in TCGA-LIHC. The 42 genes not evaluable in GSE14520 carry no probe on the GPL3921 array used for that cohort and are therefore absent from the comparison rather than missing at random; they are listed in the archived per-gene statistics. Among the 45 evaluable genes, concordant direction was seen for 34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and LRCH1 did not reach significance by Cox regression in TCGA (P = 0.074, 0.143 and 0.120 respectively); these were included on the basis of significant Cox regression in the validation cohort with concordant direction. CD5 was also significant by Cox regression in TCGA (P = 0.045) and, independently, by the log-rank test (P = 0.0016). Figure 3 shows the scatter distribution of hazard ratios in the two cohorts; of the 45 genes evaluable in both, 34 fall on the same side of HR = 1 in each cohort.</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expression of HSD17B6, CD5 and LRCH1 was associated with better overall survival in both cohorts (adjusted HR &lt; 1 in each), whereas higher NT5DC2, BCLAF1 and SREBF2 expression was associated with poorer outcome (adjusted HR &gt; 1 in each; SREBF2 HR 1.09 in TCGA-LIHC and 1.25 in GSE14520, the latter sitting exactly at the significance boundary). Direction is therefore consistent across cohorts for all six genes after adjustment (Fig. 5, Table 1).</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Both cohorts contain both sexes — 189 male and 30 female among the 219 GSE14520 cases analysed, and 232 male and 109 female among the 341 TCGA-LIHC cases analysed — so sex entered every model as a covariate. Only primary tumours were included in TCGA-LIHC (see Section 4.1); in TCGA-LIHC (n = 341, 117 events) and GSE14520 (n = 219, 84 events) the adjusted results were as follows (the same values appear in the adjusted columns of Table 1):</w:t>
      </w:r>
    </w:p>
    <w:p>
      <w:pPr>
        <w:spacing w:line="240" w:lineRule="auto" w:before="0" w:after="120"/>
      </w:pPr>
      <w:r>
        <w:rPr>
          <w:rFonts w:ascii="Times New Roman" w:hAnsi="Times New Roman"/>
          <w:b w:val="0"/>
          <w:i w:val="0"/>
          <w:sz w:val="24"/>
        </w:rPr>
        <w:t xml:space="preserve">Stage was a strong prognostic factor in both cohorts (adjusted HR 1.74, P = 0.0053 in TCGA; 3.14, P = 1.2 × 10⁻⁶ in GSE14520), confirming that adjustment was informative; sex was not a significant covariate in either cohort (TCGA P = 0.838; GSE14520 P = 0.430), so the prognostic signals below are not attributable to sex.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is if anything strengthened relative to the unadjusted estimate (1.25 to adjusted 1.39 in TCGA; 1.37 to adjusted 1.27 in GSE14520). HSD17B6 in TCGA and SREBF2 in GSE14520 lie close to the significance boundary (P = 0.052 and P = 0.050 respectively) and are reported as not significant.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Throughout, correlation coefficients are given as a pair in the order TCGA-LIHC, GSE14520: Treg cells r = 0.812/0.463, CD4+ T cells r = 0.877/0.378, Tfh cells r = 0.870/0.362, effector CD4 r = 0.863/0.381, CD8 r = 0.816/0.268</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−0.243/−0.217),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reached significance by Cox regression in both cohorts and by the log-rank test in TCGA before adjustment, while its high expression correlated positively with several T-cell populations. Notably, CD5 has HR &lt; 1 in both cohorts (unadjusted 0.865 and 0.818; adjusted 0.88 and 0.81),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Table 2 and Fig. 7:</w:t>
      </w:r>
    </w:p>
    <w:p>
      <w:pPr>
        <w:spacing w:line="240" w:lineRule="auto" w:before="200" w:after="80"/>
      </w:pPr>
      <w:r>
        <w:rPr>
          <w:rFonts w:ascii="Times New Roman" w:hAnsi="Times New Roman"/>
          <w:b/>
          <w:i w:val="0"/>
          <w:sz w:val="24"/>
        </w:rPr>
        <w:t>Table 2 | Quality stratification of the circRNA–miRNA network</w:t>
      </w:r>
    </w:p>
    <w:p>
      <w:pPr>
        <w:spacing w:line="240" w:lineRule="auto" w:before="0" w:after="120"/>
      </w:pPr>
      <w:r>
        <w:rPr>
          <w:rFonts w:ascii="Times New Roman" w:hAnsi="Times New Roman"/>
          <w:b w:val="0"/>
          <w:i w:val="0"/>
          <w:sz w:val="24"/>
        </w:rPr>
        <w:t>Ranked over the complete network (all quality tiers) by the number of connected circRNAs, the top eight hub miRNAs connect 19–22 distinct circRNAs and 18–21 distinct host genes, with mean binding free energies mostly below −22 kcal/mol, indicating relatively strong predicted binding (Supplementary Table S1). Figure 6 ranks hubs within the high and medium tiers only, so its sixteen displayed miRNAs are a different and slightly smaller set; this is a deliberate difference in scope, not a discrepancy.</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every matched human record we retrieved).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October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coordinate-level matching to 49 of 103 (48%: 34 exact and 15 loose), and a further 30 candidates were recovered by same-gene same-chromosome fallback matching, giving 79 circRNAs that carry at least one predicted miRNA and therefore enter the network. This was the single largest technical determinant of matching success in this study. The remaining 24 candidates are absent from the network because circBank declares either no entry at a comparable coordinate or no miRNA for any entry it does declare; the per-candidate reason is retained in the archived matching table.</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40 prognostic genes in TCGA, 34 of the 45 evaluable in both cohorts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with an effect size slightly larger than the unadjusted estimate, making it the only independently prognostic host gene in this study. HSD17B6 retained significance in GSE14520 but fell just short of significance in TCGA (P = 0.052); CD5 was significant in TCGA before adjustment (P = 0.045) but not after it; BCLAF1, SREBF2 and LRCH1 were not significant in TCGA at either step.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every matched record we retrieved); coordinate systems differ systematically between sources; our own initial retrieval was incomplete. We addressed these by match-type stratification, binding-energy filtering, chromosomal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p>
      <w:pPr>
        <w:spacing w:line="240" w:lineRule="auto" w:before="200" w:after="80"/>
      </w:pPr>
      <w:r>
        <w:rPr>
          <w:rFonts w:ascii="Times New Roman" w:hAnsi="Times New Roman"/>
          <w:b/>
          <w:i w:val="0"/>
          <w:sz w:val="24"/>
        </w:rPr>
        <w:t>Table 3 | Data sources</w:t>
      </w:r>
    </w:p>
    <w:p>
      <w:pPr>
        <w:spacing w:line="240" w:lineRule="auto" w:before="0" w:after="120"/>
      </w:pPr>
      <w:r>
        <w:rPr>
          <w:rFonts w:ascii="Times New Roman" w:hAnsi="Times New Roman"/>
          <w:b/>
          <w:i w:val="0"/>
          <w:sz w:val="24"/>
        </w:rPr>
        <w:t>Genome builds and coordinate harmonisation.</w:t>
      </w:r>
      <w:r>
        <w:rPr>
          <w:rFonts w:ascii="Times New Roman" w:hAnsi="Times New Roman"/>
          <w:b w:val="0"/>
          <w:i w:val="0"/>
          <w:sz w:val="24"/>
        </w:rPr>
        <w:t xml:space="preserve"> GSE122482 reports circRNA coordinates in `chrN:start-end` notation (Illumina HiSeq 3000, GPL21290) whereas circBank entries are written as `N:start-end`. Neither source states its genome build explicitly in the files we retrieved, so we could not verify that they are identical; </w:t>
      </w:r>
      <w:r>
        <w:rPr>
          <w:rFonts w:ascii="Times New Roman" w:hAnsi="Times New Roman"/>
          <w:b/>
          <w:i w:val="0"/>
          <w:sz w:val="24"/>
        </w:rPr>
        <w:t>no liftOver between builds was performed</w:t>
      </w:r>
      <w:r>
        <w:rPr>
          <w:rFonts w:ascii="Times New Roman" w:hAnsi="Times New Roman"/>
          <w:b w:val="0"/>
          <w:i w:val="0"/>
          <w:sz w:val="24"/>
        </w:rPr>
        <w:t>, and matching relied on coordinate identity after normalising the chromosome prefix alone. Because the two builds cannot be confirmed to agree, we treat a build difference as one possible explanation both for the residual unmatched candidates and for the MGC50722 and ADAMTS13 annotation conflict discussed in Section 2.1, and we flag this as a limitation rather than a resolved question. Readers reproducing the matching should confirm the builds before treating any coordinate-level match as exact.</w:t>
      </w:r>
    </w:p>
    <w:p>
      <w:pPr>
        <w:spacing w:line="240" w:lineRule="auto" w:before="0" w:after="120"/>
      </w:pPr>
      <w:r>
        <w:rPr>
          <w:rFonts w:ascii="Times New Roman" w:hAnsi="Times New Roman"/>
          <w:b/>
          <w:i w:val="0"/>
          <w:sz w:val="24"/>
        </w:rPr>
        <w:t>Expression preprocessing.</w:t>
      </w:r>
      <w:r>
        <w:rPr>
          <w:rFonts w:ascii="Times New Roman" w:hAnsi="Times New Roman"/>
          <w:b w:val="0"/>
          <w:i w:val="0"/>
          <w:sz w:val="24"/>
        </w:rPr>
        <w:t xml:space="preserve"> For GSE122482, per-sample circRNA RPM tables were obtained from the GEO supplementary files (20 tables, one per sample) and used as delivered; no further normalisation was applied, and the same table set served both the differential screen and the annotation mapping. For GSE14520, Affymetrix probe-level values were taken from the GEO series matrix as delivered (log-transformed by the submitters) and collapsed to gene level by averaging probes mapping to the same gene symbol; no additional normalisation, batch correction or imputation was performed, and the cohort was analysed as a single batch because it comes from one series. For TCGA-LIHC, FPKM values for the 73 host genes were retrieved from the Genomic Data Commons via the harmonised STAR - Counts data set (`TCGA-LIHC.star_fpkm.tsv.gz`, Ensembl gene identifiers mapped to symbols) together with the corresponding clinical table, and log2-transformed (log2(FPKM + 1)) before z-scoring. Expression values entered all models as z-scores, so that hazard ratios are per standard deviation and are not affected by the different dynamic ranges of the three platforms.</w:t>
      </w:r>
    </w:p>
    <w:p>
      <w:pPr>
        <w:spacing w:line="240" w:lineRule="auto" w:before="0" w:after="120"/>
      </w:pPr>
      <w:r>
        <w:rPr>
          <w:rFonts w:ascii="Times New Roman" w:hAnsi="Times New Roman"/>
          <w:b/>
          <w:i w:val="0"/>
          <w:sz w:val="24"/>
        </w:rPr>
        <w:t>Sample accounting for TCGA-LIHC (all figures refer to primary tumours only).</w:t>
      </w:r>
      <w:r>
        <w:rPr>
          <w:rFonts w:ascii="Times New Roman" w:hAnsi="Times New Roman"/>
          <w:b w:val="0"/>
          <w:i w:val="0"/>
          <w:sz w:val="24"/>
        </w:rPr>
        <w:t xml:space="preserve"> The GDC clinical table for this cohort lists 439 samples: 377 primary tumours (sample type 01), 59 solid tissue normals (11) and 3 recurrent tumours (02). The FPKM matrix has 424 columns, of which 371 are primary tumours and 53 are non-tumour; the survival table covers 433 samples. Restricting to primary tumours at every step gives the following funnel: </w:t>
      </w:r>
      <w:r>
        <w:rPr>
          <w:rFonts w:ascii="Times New Roman" w:hAnsi="Times New Roman"/>
          <w:b/>
          <w:i w:val="0"/>
          <w:sz w:val="24"/>
        </w:rPr>
        <w:t>377 primary tumours → 371 with expression data → 365 with survival data → 347 with complete stage, age and sex → 341 also present in the expression matrix</w:t>
      </w:r>
      <w:r>
        <w:rPr>
          <w:rFonts w:ascii="Times New Roman" w:hAnsi="Times New Roman"/>
          <w:b w:val="0"/>
          <w:i w:val="0"/>
          <w:sz w:val="24"/>
        </w:rPr>
        <w:t>, and those 341 are the samples entering the multivariable models (117 events). The univariable Cox and log-rank analyses reported in Table 1 and Fig. 3 use 364 tumours (130 events). This is one fewer than the 365 with survival data because the univariable models rebuild survival time per sample from `days_to_death` or `days_to_last_follow_up` and exclude cases whose vital status is not reported or whose corresponding time field is missing, rather than using the pre-computed overall-survival field directly. Adjacent normal tissue and recurrent tumours were excluded throughout: normal tissue is not a prognostic observation, and recurrence samples do not share the initial-diagnosis survival structure of the discovery cohort. For GSE14520 the corresponding counts are 247 annotated tumour samples, of which 225 have complete clinical and survival data and 219 enter the multivariable models (84 events); the 445-sample expression matrix includes both tumour and non-tumour samples, and only tumour samples enter any analysis.</w:t>
      </w:r>
    </w:p>
    <w:p>
      <w:pPr>
        <w:spacing w:line="240" w:lineRule="auto" w:before="0" w:after="120"/>
      </w:pPr>
      <w:r>
        <w:rPr>
          <w:rFonts w:ascii="Times New Roman" w:hAnsi="Times New Roman"/>
          <w:b w:val="0"/>
          <w:i w:val="0"/>
          <w:sz w:val="24"/>
        </w:rPr>
        <w:t>Clinical data for GSE14520 were obtained from its Extra Supplement file, in which tissue type, survival status and survival time are recorded alongside sex (`M`/`F`) and TNM stage; only samples annotated as tumour were included. Immune cell feature gene sets were taken from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from which 27 lineage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against the platform annotation. Across the full set of 92,204 circRNA features, 48,109 records (52.2%) carried a gene assignment, spanning 11,048 distinct host genes. Restricting the same lookup to the 103 differentially expressed circRNAs returned a gene assignment for each, and these 103 circRNAs map to 91 distinct host genes; nine genes host more than one of the candidate circRNAs. It is this set of 91 genes, not the whole annotation, that enters the prognostic analysis below.</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only NT5DC2 and HSD17B6 among the six validated genes achieved Cox significance in both cohorts, while the TCGA Cox P values for CD5, BCLAF1, LRCH1 and SREBF2 ranged from 0.063 to 0.201.</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For GSE14520 the clinical variables were read from the Extra Supplement file, in which sex is coded `M`/`F` and stage in the `TNM staging` column as I/II/IIIA/IIIB/IIIC/IV; samples with missing stage, missing age or missing sex were excluded rather than assigned to a default category. Covariates were required to be present for a sample to enter a model, giving n = 341 (117 events) in TCGA-LIHC and n = 219 (84 events) in GSE14520. Numerical verification: all univariable Cox P values were recomputed with `survival::coxph` and compared with the pipeline's own implementation on identical sample sets; significance classification agreed for 9 of 9 genes in TCGA-LIHC and 6 of 9 in GSE14520, the three disagreements being genes whose P values lay between 0.03 and 0.09 and whose category therefore changed when the analysis set narrowed from 225 to 219 samples.</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 cellular composition score was constructed by taking the 27 lineage feature gene sets defined for liver tissue in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xml:space="preserve"> and computing, for every sample, the mean of the within-sample expression ranks of the genes in each set (a rank-average signature score)</w:t>
      </w:r>
      <w:r>
        <w:rPr>
          <w:rFonts w:ascii="Times New Roman" w:hAnsi="Times New Roman"/>
          <w:b w:val="0"/>
          <w:i w:val="0"/>
          <w:sz w:val="24"/>
          <w:vertAlign w:val="superscript"/>
        </w:rPr>
        <w:t>11</w:t>
      </w:r>
      <w:r>
        <w:rPr>
          <w:rFonts w:ascii="Times New Roman" w:hAnsi="Times New Roman"/>
          <w:b w:val="0"/>
          <w:i w:val="0"/>
          <w:sz w:val="24"/>
        </w:rPr>
        <w:t xml:space="preserve">, an approach that captures coordinated expression of lineage markers without requiring cell-level resolution. It is not ssGSEA: no ECDF-based enrichment weighting is applied, and we therefore do not describe it as such. </w:t>
      </w:r>
      <w:r>
        <w:rPr>
          <w:rFonts w:ascii="Times New Roman" w:hAnsi="Times New Roman"/>
          <w:b/>
          <w:i w:val="0"/>
          <w:sz w:val="24"/>
        </w:rPr>
        <w:t>The 27 sets are lineage signatures rather than exclusively immune lineages</w:t>
      </w:r>
      <w:r>
        <w:rPr>
          <w:rFonts w:ascii="Times New Roman" w:hAnsi="Times New Roman"/>
          <w:b w:val="0"/>
          <w:i w:val="0"/>
          <w:sz w:val="24"/>
        </w:rPr>
        <w:t xml:space="preserve">: besides lymphoid and myeloid populations they include endothelial cells, cancer-associated fibroblasts and fibroblasts, which we retained because these compartments shape the tumour microenvironment and because the same reference defines them. We refer to them collectively as lineage signatures throughout. Pearson correlations between gene expression and each lineage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15</w:t>
      </w:r>
      <w:r>
        <w:rPr>
          <w:rFonts w:ascii="Times New Roman" w:hAnsi="Times New Roman"/>
          <w:b w:val="0"/>
          <w:i w:val="0"/>
          <w:sz w:val="24"/>
        </w:rPr>
        <w:t xml:space="preserve">, a database employing a nomenclature based on circRNA host genes, and candidate circRNAs were associated with circBank entries by coordinate matching. </w:t>
      </w:r>
      <w:r>
        <w:rPr>
          <w:rFonts w:ascii="Times New Roman" w:hAnsi="Times New Roman"/>
          <w:b/>
          <w:i w:val="0"/>
          <w:sz w:val="24"/>
        </w:rPr>
        <w:t>Note that GSE122482 uses the `chrN` format whereas circBank uses `N`</w:t>
      </w:r>
      <w:r>
        <w:rPr>
          <w:rFonts w:ascii="Times New Roman" w:hAnsi="Times New Roman"/>
          <w:b w:val="0"/>
          <w:i w:val="0"/>
          <w:sz w:val="24"/>
        </w:rPr>
        <w:t>; without harmonisation, coordinate matching fails. Normalising chromosome names raised exact-coordinate matches from 33 of 103 candidates (32%) to 34, and adding the loose and gene-fallback tiers brought 79 candidates (77%) into the network.</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every matched human record we retrieved.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October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all of which were estimable in both cohorts.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sex was not a significant covariate in either cohort.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45 host genes evaluable in both cohorts, in TCGA-LIHC (n = 367 primary tumours) and GSE14520 (n = 219 tumours).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Lineage signature association matrix.</w:t>
      </w:r>
      <w:r>
        <w:rPr>
          <w:rFonts w:ascii="Times New Roman" w:hAnsi="Times New Roman"/>
          <w:b w:val="0"/>
          <w:i w:val="0"/>
          <w:sz w:val="24"/>
        </w:rPr>
        <w:t xml:space="preserve"> Pearson correlation between five genes and 21 lineage signatures,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(TCGA log-rank P = 0.0076; GSE14520 P = 0.0053). Higher HSD17B6 expression was associated with better survival in GSE14520 (log-rank P = 0.0066) but not significantly in TCGA (P = 0.075), consistent with its borderline multivariable result there. CD5 is significant by log-rank in TCGA (P = 0.0016) but not in GSE14520 (P = 0.066); its Cox P values are 0.045 and 0.030, so it reaches significance by Cox regression in both cohorts before adjustment. LRCH1 is not significant by log-rank in either cohort (0.320 and 0.187). The two tests answer different questions — the log-rank test compares two median-split groups and is sensitive to differences in the shape of the survival curves, whereas the Cox model uses the continuous expression value and assumes proportional hazards — so a gene can be significant by one and not the other. We report both throughout and do not select between them.</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(4,540 edges: 3,126 high plus 1,414 medium). The centre contains the 16 hub miRNAs ranked by the number of connected circRNAs within these two tiers (node size = number of connected circRNAs; colour intensity reflects mean binding energy). The outer left ring shows the 37 circRNAs and the outer right ring the 34 host genes connected to those hubs.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Genes are counted once per tier in (c), so the three values sum to more than the six validated genes: a gene connected by edges of more than one quality tier appears in each of those tiers.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200" w:after="80"/>
      </w:pPr>
      <w:r>
        <w:rPr>
          <w:rFonts w:ascii="Times New Roman" w:hAnsi="Times New Roman"/>
          <w:b/>
          <w:i w:val="0"/>
          <w:sz w:val="24"/>
        </w:rPr>
        <w:t>Supplementary Table S1 | Eight hub miRNAs ranked by connectivity</w:t>
      </w:r>
    </w:p>
    <w:p>
      <w:pPr>
        <w:spacing w:line="240" w:lineRule="auto" w:before="200" w:after="8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200" w:after="8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200" w:after="8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200" w:after="8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All three covariates were estimable in both cohorts.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200" w:after="80"/>
      </w:pPr>
      <w:r>
        <w:rPr>
          <w:rFonts w:ascii="Times New Roman" w:hAnsi="Times New Roman"/>
          <w:b/>
          <w:i w:val="0"/>
          <w:sz w:val="24"/>
        </w:rPr>
        <w:t>Supplementary Table S6 | Clinical characteristics of the two validation cohorts</w:t>
      </w:r>
    </w:p>
    <w:p>
      <w:pPr>
        <w:spacing w:line="240" w:lineRule="auto" w:before="0" w:after="120"/>
      </w:pPr>
      <w:r>
        <w:rPr>
          <w:rFonts w:ascii="Times New Roman" w:hAnsi="Times New Roman"/>
          <w:b w:val="0"/>
          <w:i w:val="0"/>
          <w:sz w:val="24"/>
        </w:rPr>
        <w:t>Only primary tumours are counted in the TCGA-LIHC column; solid tissue normals and recurrent tumours are excluded at the first step, and the GSE14520 column likewise counts tumour samples only (the 445-sample expression matrix there contains both tumour and non-tumour samples). Sex and stage distributions were verified directly against the source clinical files: GSE14520 codes sex as `M`/`F` (211 male and 31 female among all 247 tumour samples) and stage in the `TNM staging` column (I, II, IIIA, IIIB, IIIC and IV grouped as I/II versus III/IV); TCGA-LIHC sample type comes from the GDC `sample_type.samples` field. Samples with missing sex, stage or age, or with non-positive survival time, were excluded rather than assigned a default value.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characterizing circular RNAs. </w:t>
      </w:r>
      <w:r>
        <w:rPr>
          <w:rFonts w:ascii="Times New Roman" w:hAnsi="Times New Roman"/>
          <w:b w:val="0"/>
          <w:i/>
          <w:sz w:val="24"/>
        </w:rPr>
        <w:t>Nat Biotechnol.</w:t>
      </w:r>
      <w:r>
        <w:rPr>
          <w:rFonts w:ascii="Times New Roman" w:hAnsi="Times New Roman"/>
          <w:b w:val="0"/>
          <w:i w:val="0"/>
          <w:sz w:val="24"/>
        </w:rPr>
        <w:t xml:space="preserve"> 2014;32(5):453–461. doi:10.1038/nbt.2890</w:t>
      </w:r>
    </w:p>
    <w:p>
      <w:pPr>
        <w:spacing w:line="240" w:lineRule="auto" w:before="0" w:after="120"/>
        <w:ind w:left="360"/>
      </w:pPr>
      <w:r>
        <w:rPr>
          <w:rFonts w:ascii="Times New Roman" w:hAnsi="Times New Roman"/>
          <w:b w:val="0"/>
          <w:i w:val="0"/>
          <w:sz w:val="24"/>
        </w:rPr>
        <w:t xml:space="preserve">4.  Enuka Y, Lauriola M, Feldman ME, Sas-Chen A, Ulitsky I, Yarden Y. Circular RNAs are long-lived and display only minimal early alterations in response to a growth factor. </w:t>
      </w:r>
      <w:r>
        <w:rPr>
          <w:rFonts w:ascii="Times New Roman" w:hAnsi="Times New Roman"/>
          <w:b w:val="0"/>
          <w:i/>
          <w:sz w:val="24"/>
        </w:rPr>
        <w:t>Nucleic Acids Res.</w:t>
      </w:r>
      <w:r>
        <w:rPr>
          <w:rFonts w:ascii="Times New Roman" w:hAnsi="Times New Roman"/>
          <w:b w:val="0"/>
          <w:i w:val="0"/>
          <w:sz w:val="24"/>
        </w:rPr>
        <w:t xml:space="preserve"> 2016;44(3):1370–1383. doi:10.1093/nar/gkv1367</w:t>
      </w:r>
    </w:p>
    <w:p>
      <w:pPr>
        <w:spacing w:line="240" w:lineRule="auto" w:before="0" w:after="120"/>
        <w:ind w:left="360"/>
      </w:pPr>
      <w:r>
        <w:rPr>
          <w:rFonts w:ascii="Times New Roman" w:hAnsi="Times New Roman"/>
          <w:b w:val="0"/>
          <w:i w:val="0"/>
          <w:sz w:val="24"/>
        </w:rPr>
        <w:t xml:space="preserve">5.  Chen G, Shi Y, Liu M, Sun J. circHIPK3 regulates cell proliferation and migration by sponging miR-124 and regulating AQP3 expression in hepatocellular carcinoma. </w:t>
      </w:r>
      <w:r>
        <w:rPr>
          <w:rFonts w:ascii="Times New Roman" w:hAnsi="Times New Roman"/>
          <w:b w:val="0"/>
          <w:i/>
          <w:sz w:val="24"/>
        </w:rPr>
        <w:t>Cell Death Dis.</w:t>
      </w:r>
      <w:r>
        <w:rPr>
          <w:rFonts w:ascii="Times New Roman" w:hAnsi="Times New Roman"/>
          <w:b w:val="0"/>
          <w:i w:val="0"/>
          <w:sz w:val="24"/>
        </w:rPr>
        <w:t xml:space="preserve"> 2018;9:175. doi:10.1038/s41419-017-0204-3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Poliseno L, Tay Y, Kats L, Pandolfi PP. A ceRNA hypothesis: the Rosetta Stone of a hidden RNA language. </w:t>
      </w:r>
      <w:r>
        <w:rPr>
          <w:rFonts w:ascii="Times New Roman" w:hAnsi="Times New Roman"/>
          <w:b w:val="0"/>
          <w:i/>
          <w:sz w:val="24"/>
        </w:rPr>
        <w:t>Cell.</w:t>
      </w:r>
      <w:r>
        <w:rPr>
          <w:rFonts w:ascii="Times New Roman" w:hAnsi="Times New Roman"/>
          <w:b w:val="0"/>
          <w:i w:val="0"/>
          <w:sz w:val="24"/>
        </w:rPr>
        <w:t xml:space="preserve"> 2011;146(3):353–358. doi:10.1016/j.cell.2011.07.013</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Charoentong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Mlecnik B, Galon J,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PMID:34094907</w:t>
      </w:r>
    </w:p>
    <w:p>
      <w:pPr>
        <w:spacing w:line="240" w:lineRule="auto" w:before="0" w:after="120"/>
        <w:ind w:left="360"/>
      </w:pPr>
      <w:r>
        <w:rPr>
          <w:rFonts w:ascii="Times New Roman" w:hAnsi="Times New Roman"/>
          <w:b w:val="0"/>
          <w:i w:val="0"/>
          <w:sz w:val="24"/>
        </w:rPr>
        <w:t xml:space="preserve">22.  Zhou K, Huang J, Liu S,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 xml:space="preserve">The analysis was implemented in two stages and both are archived with the results. </w:t>
      </w:r>
      <w:r>
        <w:rPr>
          <w:rFonts w:ascii="Times New Roman" w:hAnsi="Times New Roman"/>
          <w:b/>
          <w:i w:val="0"/>
          <w:sz w:val="24"/>
        </w:rPr>
        <w:t>Data retrieval, format handling and file processing</w:t>
      </w:r>
      <w:r>
        <w:rPr>
          <w:rFonts w:ascii="Times New Roman" w:hAnsi="Times New Roman"/>
          <w:b w:val="0"/>
          <w:i w:val="0"/>
          <w:sz w:val="24"/>
        </w:rPr>
        <w:t xml:space="preserve"> were done in Python 3.13.12 using the standard library only, so this stage needs no third-party packages. </w:t>
      </w:r>
      <w:r>
        <w:rPr>
          <w:rFonts w:ascii="Times New Roman" w:hAnsi="Times New Roman"/>
          <w:b/>
          <w:i w:val="0"/>
          <w:sz w:val="24"/>
        </w:rPr>
        <w:t>All statistical inference was done in R 4.6.1</w:t>
      </w:r>
      <w:r>
        <w:rPr>
          <w:rFonts w:ascii="Times New Roman" w:hAnsi="Times New Roman"/>
          <w:b w:val="0"/>
          <w:i w:val="0"/>
          <w:sz w:val="24"/>
        </w:rPr>
        <w:t xml:space="preserve"> using `stats` (`p.adjust`, `cor`) and `survival` (`coxph`, `survdiff`); both ship with R and require no additional licence. Figure rendering additionally uses `Pillow` and a headless browser for SVG rasterisation, and is not required to reproduce any numerical result. The complete pipeline, the execution order and the software versions are documented in the archive README, and every file carries a SHA256 checksum in the archive manifest.</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2,100 words (limit 4,500). </w:t>
      </w:r>
      <w:r>
        <w:rPr>
          <w:rFonts w:ascii="Times New Roman" w:hAnsi="Times New Roman"/>
          <w:b/>
          <w:i w:val="0"/>
          <w:sz w:val="24"/>
        </w:rPr>
        <w:t>Abstract</w:t>
      </w:r>
      <w:r>
        <w:rPr>
          <w:rFonts w:ascii="Times New Roman" w:hAnsi="Times New Roman"/>
          <w:b w:val="0"/>
          <w:i w:val="0"/>
          <w:sz w:val="24"/>
        </w:rPr>
        <w:t xml:space="preserve">: 194 words (limit 200). </w:t>
      </w:r>
      <w:r>
        <w:rPr>
          <w:rFonts w:ascii="Times New Roman" w:hAnsi="Times New Roman"/>
          <w:b/>
          <w:i w:val="0"/>
          <w:sz w:val="24"/>
        </w:rPr>
        <w:t>Display items</w:t>
      </w:r>
      <w:r>
        <w:rPr>
          <w:rFonts w:ascii="Times New Roman" w:hAnsi="Times New Roman"/>
          <w:b w:val="0"/>
          <w:i w:val="0"/>
          <w:sz w:val="24"/>
        </w:rPr>
        <w:t xml:space="preserve">: 7 figures and 3 tables (Tables 1–3), plus 6 supplementary tables (S1–S6). </w:t>
      </w:r>
      <w:r>
        <w:rPr>
          <w:rFonts w:ascii="Times New Roman" w:hAnsi="Times New Roman"/>
          <w:b/>
          <w:i w:val="0"/>
          <w:sz w:val="24"/>
        </w:rPr>
        <w:t>References</w:t>
      </w:r>
      <w:r>
        <w:rPr>
          <w:rFonts w:ascii="Times New Roman" w:hAnsi="Times New Roman"/>
          <w:b w:val="0"/>
          <w:i w:val="0"/>
          <w:sz w:val="24"/>
        </w:rPr>
        <w:t>: 22.</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w:t>
            </w:r>
          </w:p>
        </w:tc>
        <w:tc>
          <w:tcPr>
            <w:tcW w:type="dxa" w:w="1040"/>
          </w:tcPr>
          <w:p>
            <w:pPr>
              <w:spacing w:line="240" w:lineRule="auto" w:after="40"/>
            </w:pPr>
            <w:r/>
            <w:r>
              <w:rPr>
                <w:rFonts w:ascii="Times New Roman" w:hAnsi="Times New Roman"/>
                <w:b/>
                <w:sz w:val="20"/>
              </w:rPr>
              <w:t>P_cox (TCGA)</w:t>
            </w:r>
          </w:p>
        </w:tc>
        <w:tc>
          <w:tcPr>
            <w:tcW w:type="dxa" w:w="1040"/>
          </w:tcPr>
          <w:p>
            <w:pPr>
              <w:spacing w:line="240" w:lineRule="auto" w:after="40"/>
            </w:pPr>
            <w:r/>
            <w:r>
              <w:rPr>
                <w:rFonts w:ascii="Times New Roman" w:hAnsi="Times New Roman"/>
                <w:b/>
                <w:sz w:val="20"/>
              </w:rPr>
              <w:t>P_logrank (TCGA)</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(14520)</w:t>
            </w:r>
          </w:p>
        </w:tc>
        <w:tc>
          <w:tcPr>
            <w:tcW w:type="dxa" w:w="1040"/>
          </w:tcPr>
          <w:p>
            <w:pPr>
              <w:spacing w:line="240" w:lineRule="auto" w:after="40"/>
            </w:pPr>
            <w:r/>
            <w:r>
              <w:rPr>
                <w:rFonts w:ascii="Times New Roman" w:hAnsi="Times New Roman"/>
                <w:b/>
                <w:sz w:val="20"/>
              </w:rPr>
              <w:t>Adjusted HR (TCGA), P</w:t>
            </w:r>
          </w:p>
        </w:tc>
        <w:tc>
          <w:tcPr>
            <w:tcW w:type="dxa" w:w="1040"/>
          </w:tcPr>
          <w:p>
            <w:pPr>
              <w:spacing w:line="240" w:lineRule="auto" w:after="40"/>
            </w:pPr>
            <w:r/>
            <w:r>
              <w:rPr>
                <w:rFonts w:ascii="Times New Roman" w:hAnsi="Times New Roman"/>
                <w:b/>
                <w:sz w:val="20"/>
              </w:rPr>
              <w:t>Adjusted HR (14520),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1.536</w:t>
            </w:r>
          </w:p>
        </w:tc>
        <w:tc>
          <w:tcPr>
            <w:tcW w:type="dxa" w:w="1040"/>
          </w:tcPr>
          <w:p>
            <w:pPr>
              <w:spacing w:line="240" w:lineRule="auto" w:after="40"/>
            </w:pPr>
            <w:r/>
            <w:r>
              <w:rPr>
                <w:rFonts w:ascii="Times New Roman" w:hAnsi="Times New Roman"/>
                <w:b w:val="0"/>
                <w:sz w:val="20"/>
              </w:rPr>
              <w:t>7.49 × 10⁻⁶</w:t>
            </w:r>
          </w:p>
        </w:tc>
        <w:tc>
          <w:tcPr>
            <w:tcW w:type="dxa" w:w="1040"/>
          </w:tcPr>
          <w:p>
            <w:pPr>
              <w:spacing w:line="240" w:lineRule="auto" w:after="40"/>
            </w:pPr>
            <w:r/>
            <w:r>
              <w:rPr>
                <w:rFonts w:ascii="Times New Roman" w:hAnsi="Times New Roman"/>
                <w:b w:val="0"/>
                <w:sz w:val="20"/>
              </w:rPr>
              <w:t>0.0076</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1.388, 0.0004</w:t>
            </w:r>
          </w:p>
        </w:tc>
        <w:tc>
          <w:tcPr>
            <w:tcW w:type="dxa" w:w="1040"/>
          </w:tcPr>
          <w:p>
            <w:pPr>
              <w:spacing w:line="240" w:lineRule="auto" w:after="40"/>
            </w:pPr>
            <w:r/>
            <w:r>
              <w:rPr>
                <w:rFonts w:ascii="Times New Roman" w:hAnsi="Times New Roman"/>
                <w:b w:val="0"/>
                <w:sz w:val="20"/>
              </w:rPr>
              <w:t>1.267, 0.018</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0.762</w:t>
            </w:r>
          </w:p>
        </w:tc>
        <w:tc>
          <w:tcPr>
            <w:tcW w:type="dxa" w:w="1040"/>
          </w:tcPr>
          <w:p>
            <w:pPr>
              <w:spacing w:line="240" w:lineRule="auto" w:after="40"/>
            </w:pPr>
            <w:r/>
            <w:r>
              <w:rPr>
                <w:rFonts w:ascii="Times New Roman" w:hAnsi="Times New Roman"/>
                <w:b w:val="0"/>
                <w:sz w:val="20"/>
              </w:rPr>
              <w:t>1.58 × 10⁻³</w:t>
            </w:r>
          </w:p>
        </w:tc>
        <w:tc>
          <w:tcPr>
            <w:tcW w:type="dxa" w:w="1040"/>
          </w:tcPr>
          <w:p>
            <w:pPr>
              <w:spacing w:line="240" w:lineRule="auto" w:after="40"/>
            </w:pPr>
            <w:r/>
            <w:r>
              <w:rPr>
                <w:rFonts w:ascii="Times New Roman" w:hAnsi="Times New Roman"/>
                <w:b w:val="0"/>
                <w:sz w:val="20"/>
              </w:rPr>
              <w:t>0.075</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0.847, 0.052</w:t>
            </w:r>
          </w:p>
        </w:tc>
        <w:tc>
          <w:tcPr>
            <w:tcW w:type="dxa" w:w="1040"/>
          </w:tcPr>
          <w:p>
            <w:pPr>
              <w:spacing w:line="240" w:lineRule="auto" w:after="40"/>
            </w:pPr>
            <w:r/>
            <w:r>
              <w:rPr>
                <w:rFonts w:ascii="Times New Roman" w:hAnsi="Times New Roman"/>
                <w:b w:val="0"/>
                <w:sz w:val="20"/>
              </w:rPr>
              <w:t>0.801, 0.033</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1.141</w:t>
            </w:r>
          </w:p>
        </w:tc>
        <w:tc>
          <w:tcPr>
            <w:tcW w:type="dxa" w:w="1040"/>
          </w:tcPr>
          <w:p>
            <w:pPr>
              <w:spacing w:line="240" w:lineRule="auto" w:after="40"/>
            </w:pPr>
            <w:r/>
            <w:r>
              <w:rPr>
                <w:rFonts w:ascii="Times New Roman" w:hAnsi="Times New Roman"/>
                <w:b w:val="0"/>
                <w:sz w:val="20"/>
              </w:rPr>
              <w:t>0.074</w:t>
            </w:r>
          </w:p>
        </w:tc>
        <w:tc>
          <w:tcPr>
            <w:tcW w:type="dxa" w:w="1040"/>
          </w:tcPr>
          <w:p>
            <w:pPr>
              <w:spacing w:line="240" w:lineRule="auto" w:after="40"/>
            </w:pPr>
            <w:r/>
            <w:r>
              <w:rPr>
                <w:rFonts w:ascii="Times New Roman" w:hAnsi="Times New Roman"/>
                <w:b w:val="0"/>
                <w:sz w:val="20"/>
              </w:rPr>
              <w:t>0.225</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1.100, 0.330</w:t>
            </w:r>
          </w:p>
        </w:tc>
        <w:tc>
          <w:tcPr>
            <w:tcW w:type="dxa" w:w="1040"/>
          </w:tcPr>
          <w:p>
            <w:pPr>
              <w:spacing w:line="240" w:lineRule="auto" w:after="40"/>
            </w:pPr>
            <w:r/>
            <w:r>
              <w:rPr>
                <w:rFonts w:ascii="Times New Roman" w:hAnsi="Times New Roman"/>
                <w:b w:val="0"/>
                <w:sz w:val="20"/>
              </w:rPr>
              <w:t>1.200, 0.114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1.100</w:t>
            </w:r>
          </w:p>
        </w:tc>
        <w:tc>
          <w:tcPr>
            <w:tcW w:type="dxa" w:w="1040"/>
          </w:tcPr>
          <w:p>
            <w:pPr>
              <w:spacing w:line="240" w:lineRule="auto" w:after="40"/>
            </w:pPr>
            <w:r/>
            <w:r>
              <w:rPr>
                <w:rFonts w:ascii="Times New Roman" w:hAnsi="Times New Roman"/>
                <w:b w:val="0"/>
                <w:sz w:val="20"/>
              </w:rPr>
              <w:t>0.143</w:t>
            </w:r>
          </w:p>
        </w:tc>
        <w:tc>
          <w:tcPr>
            <w:tcW w:type="dxa" w:w="1040"/>
          </w:tcPr>
          <w:p>
            <w:pPr>
              <w:spacing w:line="240" w:lineRule="auto" w:after="40"/>
            </w:pPr>
            <w:r/>
            <w:r>
              <w:rPr>
                <w:rFonts w:ascii="Times New Roman" w:hAnsi="Times New Roman"/>
                <w:b w:val="0"/>
                <w:sz w:val="20"/>
              </w:rPr>
              <w:t>0.289</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1.088, 0.378</w:t>
            </w:r>
          </w:p>
        </w:tc>
        <w:tc>
          <w:tcPr>
            <w:tcW w:type="dxa" w:w="1040"/>
          </w:tcPr>
          <w:p>
            <w:pPr>
              <w:spacing w:line="240" w:lineRule="auto" w:after="40"/>
            </w:pPr>
            <w:r/>
            <w:r>
              <w:rPr>
                <w:rFonts w:ascii="Times New Roman" w:hAnsi="Times New Roman"/>
                <w:b w:val="0"/>
                <w:sz w:val="20"/>
              </w:rPr>
              <w:t>1.247, 0.050</w:t>
            </w:r>
          </w:p>
        </w:tc>
        <w:tc>
          <w:tcPr>
            <w:tcW w:type="dxa" w:w="1040"/>
          </w:tcPr>
          <w:p>
            <w:pPr>
              <w:spacing w:line="240" w:lineRule="auto" w:after="40"/>
            </w:pPr>
            <w:r/>
            <w:r>
              <w:rPr>
                <w:rFonts w:ascii="Times New Roman" w:hAnsi="Times New Roman"/>
                <w:b w:val="0"/>
                <w:sz w:val="20"/>
              </w:rPr>
              <w:t>Directionally consistent only (GSE14520 at the significance boundary, 95% CI 1.00–1.55)</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0.904</w:t>
            </w:r>
          </w:p>
        </w:tc>
        <w:tc>
          <w:tcPr>
            <w:tcW w:type="dxa" w:w="1040"/>
          </w:tcPr>
          <w:p>
            <w:pPr>
              <w:spacing w:line="240" w:lineRule="auto" w:after="40"/>
            </w:pPr>
            <w:r/>
            <w:r>
              <w:rPr>
                <w:rFonts w:ascii="Times New Roman" w:hAnsi="Times New Roman"/>
                <w:b w:val="0"/>
                <w:sz w:val="20"/>
              </w:rPr>
              <w:t>0.120</w:t>
            </w:r>
          </w:p>
        </w:tc>
        <w:tc>
          <w:tcPr>
            <w:tcW w:type="dxa" w:w="1040"/>
          </w:tcPr>
          <w:p>
            <w:pPr>
              <w:spacing w:line="240" w:lineRule="auto" w:after="40"/>
            </w:pPr>
            <w:r/>
            <w:r>
              <w:rPr>
                <w:rFonts w:ascii="Times New Roman" w:hAnsi="Times New Roman"/>
                <w:b w:val="0"/>
                <w:sz w:val="20"/>
              </w:rPr>
              <w:t>0.320</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0.894, 0.235</w:t>
            </w:r>
          </w:p>
        </w:tc>
        <w:tc>
          <w:tcPr>
            <w:tcW w:type="dxa" w:w="1040"/>
          </w:tcPr>
          <w:p>
            <w:pPr>
              <w:spacing w:line="240" w:lineRule="auto" w:after="40"/>
            </w:pPr>
            <w:r/>
            <w:r>
              <w:rPr>
                <w:rFonts w:ascii="Times New Roman" w:hAnsi="Times New Roman"/>
                <w:b w:val="0"/>
                <w:sz w:val="20"/>
              </w:rPr>
              <w:t>0.846, 0.179</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0.865</w:t>
            </w:r>
          </w:p>
        </w:tc>
        <w:tc>
          <w:tcPr>
            <w:tcW w:type="dxa" w:w="1040"/>
          </w:tcPr>
          <w:p>
            <w:pPr>
              <w:spacing w:line="240" w:lineRule="auto" w:after="40"/>
            </w:pPr>
            <w:r/>
            <w:r>
              <w:rPr>
                <w:rFonts w:ascii="Times New Roman" w:hAnsi="Times New Roman"/>
                <w:b w:val="0"/>
                <w:sz w:val="20"/>
              </w:rPr>
              <w:t>0.045</w:t>
            </w:r>
          </w:p>
        </w:tc>
        <w:tc>
          <w:tcPr>
            <w:tcW w:type="dxa" w:w="1040"/>
          </w:tcPr>
          <w:p>
            <w:pPr>
              <w:spacing w:line="240" w:lineRule="auto" w:after="40"/>
            </w:pPr>
            <w:r/>
            <w:r>
              <w:rPr>
                <w:rFonts w:ascii="Times New Roman" w:hAnsi="Times New Roman"/>
                <w:b w:val="0"/>
                <w:sz w:val="20"/>
              </w:rPr>
              <w:t>0.0016</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0.883, 0.228</w:t>
            </w:r>
          </w:p>
        </w:tc>
        <w:tc>
          <w:tcPr>
            <w:tcW w:type="dxa" w:w="1040"/>
          </w:tcPr>
          <w:p>
            <w:pPr>
              <w:spacing w:line="240" w:lineRule="auto" w:after="40"/>
            </w:pPr>
            <w:r/>
            <w:r>
              <w:rPr>
                <w:rFonts w:ascii="Times New Roman" w:hAnsi="Times New Roman"/>
                <w:b w:val="0"/>
                <w:sz w:val="20"/>
              </w:rPr>
              <w:t>0.815, 0.069</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2 | Quality stratification of the circRNA–miRNA network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3 |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RNA-seq, Illumina HiSeq 3000 (GPL21290)</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(FPKM) + clinical</w:t>
            </w:r>
          </w:p>
        </w:tc>
        <w:tc>
          <w:tcPr>
            <w:tcW w:type="dxa" w:w="2340"/>
          </w:tcPr>
          <w:p>
            <w:pPr>
              <w:spacing w:line="240" w:lineRule="auto" w:after="40"/>
            </w:pPr>
            <w:r/>
            <w:r>
              <w:rPr>
                <w:rFonts w:ascii="Times New Roman" w:hAnsi="Times New Roman"/>
                <w:b w:val="0"/>
                <w:sz w:val="20"/>
              </w:rPr>
              <w:t>377 primary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Affymetrix GPL3921 + Extra Supplement clinical</w:t>
            </w:r>
          </w:p>
        </w:tc>
        <w:tc>
          <w:tcPr>
            <w:tcW w:type="dxa" w:w="2340"/>
          </w:tcPr>
          <w:p>
            <w:pPr>
              <w:spacing w:line="240" w:lineRule="auto" w:after="40"/>
            </w:pPr>
            <w:r/>
            <w:r>
              <w:rPr>
                <w:rFonts w:ascii="Times New Roman" w:hAnsi="Times New Roman"/>
                <w:b w:val="0"/>
                <w:sz w:val="20"/>
              </w:rPr>
              <w:t>247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S1 | Eight hub miRNAs ranked by connectivity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S2 | NT5DC2 miRNAs with the highest internal-consistency grades, and their status under independent prediction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S3 | ENCORI/starBase predictions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S4 | FDR-adjusted differential circRNA expression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S5 | Multivariable Cox regression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1.388 (1.156–1.666)</w:t>
            </w:r>
          </w:p>
        </w:tc>
        <w:tc>
          <w:tcPr>
            <w:tcW w:type="dxa" w:w="1872"/>
          </w:tcPr>
          <w:p>
            <w:pPr>
              <w:spacing w:line="240" w:lineRule="auto" w:after="40"/>
            </w:pPr>
            <w:r/>
            <w:r>
              <w:rPr>
                <w:rFonts w:ascii="Times New Roman" w:hAnsi="Times New Roman"/>
                <w:b w:val="0"/>
                <w:sz w:val="20"/>
              </w:rPr>
              <w:t>0.00045</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1.738 (1.179–2.562)</w:t>
            </w:r>
          </w:p>
        </w:tc>
        <w:tc>
          <w:tcPr>
            <w:tcW w:type="dxa" w:w="1872"/>
          </w:tcPr>
          <w:p>
            <w:pPr>
              <w:spacing w:line="240" w:lineRule="auto" w:after="40"/>
            </w:pPr>
            <w:r/>
            <w:r>
              <w:rPr>
                <w:rFonts w:ascii="Times New Roman" w:hAnsi="Times New Roman"/>
                <w:b w:val="0"/>
                <w:sz w:val="20"/>
              </w:rPr>
              <w:t>0.0053</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1.012 (0.997–1.027)</w:t>
            </w:r>
          </w:p>
        </w:tc>
        <w:tc>
          <w:tcPr>
            <w:tcW w:type="dxa" w:w="1872"/>
          </w:tcPr>
          <w:p>
            <w:pPr>
              <w:spacing w:line="240" w:lineRule="auto" w:after="40"/>
            </w:pPr>
            <w:r/>
            <w:r>
              <w:rPr>
                <w:rFonts w:ascii="Times New Roman" w:hAnsi="Times New Roman"/>
                <w:b w:val="0"/>
                <w:sz w:val="20"/>
              </w:rPr>
              <w:t>0.106</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0.960 (0.651–1.416)</w:t>
            </w:r>
          </w:p>
        </w:tc>
        <w:tc>
          <w:tcPr>
            <w:tcW w:type="dxa" w:w="1872"/>
          </w:tcPr>
          <w:p>
            <w:pPr>
              <w:spacing w:line="240" w:lineRule="auto" w:after="40"/>
            </w:pPr>
            <w:r/>
            <w:r>
              <w:rPr>
                <w:rFonts w:ascii="Times New Roman" w:hAnsi="Times New Roman"/>
                <w:b w:val="0"/>
                <w:sz w:val="20"/>
              </w:rPr>
              <w:t>0.838</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1.267 (1.041–1.542)</w:t>
            </w:r>
          </w:p>
        </w:tc>
        <w:tc>
          <w:tcPr>
            <w:tcW w:type="dxa" w:w="1872"/>
          </w:tcPr>
          <w:p>
            <w:pPr>
              <w:spacing w:line="240" w:lineRule="auto" w:after="40"/>
            </w:pPr>
            <w:r/>
            <w:r>
              <w:rPr>
                <w:rFonts w:ascii="Times New Roman" w:hAnsi="Times New Roman"/>
                <w:b w:val="0"/>
                <w:sz w:val="20"/>
              </w:rPr>
              <w:t>0.0184</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3.143 (1.980–4.990)</w:t>
            </w:r>
          </w:p>
        </w:tc>
        <w:tc>
          <w:tcPr>
            <w:tcW w:type="dxa" w:w="1872"/>
          </w:tcPr>
          <w:p>
            <w:pPr>
              <w:spacing w:line="240" w:lineRule="auto" w:after="40"/>
            </w:pPr>
            <w:r/>
            <w:r>
              <w:rPr>
                <w:rFonts w:ascii="Times New Roman" w:hAnsi="Times New Roman"/>
                <w:b w:val="0"/>
                <w:sz w:val="20"/>
              </w:rPr>
              <w:t>1.20 × 10⁻⁶</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0.995 (0.973–1.016)</w:t>
            </w:r>
          </w:p>
        </w:tc>
        <w:tc>
          <w:tcPr>
            <w:tcW w:type="dxa" w:w="1872"/>
          </w:tcPr>
          <w:p>
            <w:pPr>
              <w:spacing w:line="240" w:lineRule="auto" w:after="40"/>
            </w:pPr>
            <w:r/>
            <w:r>
              <w:rPr>
                <w:rFonts w:ascii="Times New Roman" w:hAnsi="Times New Roman"/>
                <w:b w:val="0"/>
                <w:sz w:val="20"/>
              </w:rPr>
              <w:t>0.611</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1.347 (0.643–2.822)</w:t>
            </w:r>
          </w:p>
        </w:tc>
        <w:tc>
          <w:tcPr>
            <w:tcW w:type="dxa" w:w="1872"/>
          </w:tcPr>
          <w:p>
            <w:pPr>
              <w:spacing w:line="240" w:lineRule="auto" w:after="40"/>
            </w:pPr>
            <w:r/>
            <w:r>
              <w:rPr>
                <w:rFonts w:ascii="Times New Roman" w:hAnsi="Times New Roman"/>
                <w:b w:val="0"/>
                <w:sz w:val="20"/>
              </w:rPr>
              <w:t>0.430</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S6 | Clinical characteristics of the two validation cohorts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r>
          </w:p>
        </w:tc>
        <w:tc>
          <w:tcPr>
            <w:tcW w:type="dxa" w:w="3120"/>
          </w:tcPr>
          <w:p>
            <w:pPr>
              <w:spacing w:line="240" w:lineRule="auto" w:after="40"/>
            </w:pPr>
            <w:r/>
            <w:r>
              <w:rPr>
                <w:rFonts w:ascii="Times New Roman" w:hAnsi="Times New Roman"/>
                <w:b/>
                <w:sz w:val="20"/>
              </w:rPr>
              <w:t>TCGA-LIHC</w:t>
            </w:r>
          </w:p>
        </w:tc>
        <w:tc>
          <w:tcPr>
            <w:tcW w:type="dxa" w:w="3120"/>
          </w:tcPr>
          <w:p>
            <w:pPr>
              <w:spacing w:line="240" w:lineRule="auto" w:after="40"/>
            </w:pPr>
            <w:r/>
            <w:r>
              <w:rPr>
                <w:rFonts w:ascii="Times New Roman" w:hAnsi="Times New Roman"/>
                <w:b/>
                <w:sz w:val="20"/>
              </w:rPr>
              <w:t>GSE14520</w:t>
            </w:r>
          </w:p>
        </w:tc>
      </w:tr>
      <w:tr>
        <w:tc>
          <w:tcPr>
            <w:tcW w:type="dxa" w:w="3120"/>
          </w:tcPr>
          <w:p>
            <w:pPr>
              <w:spacing w:line="240" w:lineRule="auto" w:after="40"/>
            </w:pPr>
            <w:r/>
            <w:r>
              <w:rPr>
                <w:rFonts w:ascii="Times New Roman" w:hAnsi="Times New Roman"/>
                <w:b w:val="0"/>
                <w:sz w:val="20"/>
              </w:rPr>
              <w:t>Annotated samples in the source cohort</w:t>
            </w:r>
          </w:p>
        </w:tc>
        <w:tc>
          <w:tcPr>
            <w:tcW w:type="dxa" w:w="3120"/>
          </w:tcPr>
          <w:p>
            <w:pPr>
              <w:spacing w:line="240" w:lineRule="auto" w:after="40"/>
            </w:pPr>
            <w:r/>
            <w:r>
              <w:rPr>
                <w:rFonts w:ascii="Times New Roman" w:hAnsi="Times New Roman"/>
                <w:b w:val="0"/>
                <w:sz w:val="20"/>
              </w:rPr>
              <w:t>439 (377 tumour, 59 normal, 3 recurrent)</w:t>
            </w:r>
          </w:p>
        </w:tc>
        <w:tc>
          <w:tcPr>
            <w:tcW w:type="dxa" w:w="3120"/>
          </w:tcPr>
          <w:p>
            <w:pPr>
              <w:spacing w:line="240" w:lineRule="auto" w:after="40"/>
            </w:pPr>
            <w:r/>
            <w:r>
              <w:rPr>
                <w:rFonts w:ascii="Times New Roman" w:hAnsi="Times New Roman"/>
                <w:b w:val="0"/>
                <w:sz w:val="20"/>
              </w:rPr>
              <w:t>247 tumour</w:t>
            </w:r>
          </w:p>
        </w:tc>
      </w:tr>
      <w:tr>
        <w:tc>
          <w:tcPr>
            <w:tcW w:type="dxa" w:w="3120"/>
          </w:tcPr>
          <w:p>
            <w:pPr>
              <w:spacing w:line="240" w:lineRule="auto" w:after="40"/>
            </w:pPr>
            <w:r/>
            <w:r>
              <w:rPr>
                <w:rFonts w:ascii="Times New Roman" w:hAnsi="Times New Roman"/>
                <w:b w:val="0"/>
                <w:sz w:val="20"/>
              </w:rPr>
              <w:t>Primary tumours with expression data</w:t>
            </w:r>
          </w:p>
        </w:tc>
        <w:tc>
          <w:tcPr>
            <w:tcW w:type="dxa" w:w="3120"/>
          </w:tcPr>
          <w:p>
            <w:pPr>
              <w:spacing w:line="240" w:lineRule="auto" w:after="40"/>
            </w:pPr>
            <w:r/>
            <w:r>
              <w:rPr>
                <w:rFonts w:ascii="Times New Roman" w:hAnsi="Times New Roman"/>
                <w:b w:val="0"/>
                <w:sz w:val="20"/>
              </w:rPr>
              <w:t>371</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survival data</w:t>
            </w:r>
          </w:p>
        </w:tc>
        <w:tc>
          <w:tcPr>
            <w:tcW w:type="dxa" w:w="3120"/>
          </w:tcPr>
          <w:p>
            <w:pPr>
              <w:spacing w:line="240" w:lineRule="auto" w:after="40"/>
            </w:pPr>
            <w:r/>
            <w:r>
              <w:rPr>
                <w:rFonts w:ascii="Times New Roman" w:hAnsi="Times New Roman"/>
                <w:b w:val="0"/>
                <w:sz w:val="20"/>
              </w:rPr>
              <w:t>365</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complete stage, age and sex</w:t>
            </w:r>
          </w:p>
        </w:tc>
        <w:tc>
          <w:tcPr>
            <w:tcW w:type="dxa" w:w="3120"/>
          </w:tcPr>
          <w:p>
            <w:pPr>
              <w:spacing w:line="240" w:lineRule="auto" w:after="40"/>
            </w:pPr>
            <w:r/>
            <w:r>
              <w:rPr>
                <w:rFonts w:ascii="Times New Roman" w:hAnsi="Times New Roman"/>
                <w:b w:val="0"/>
                <w:sz w:val="20"/>
              </w:rPr>
              <w:t>347</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Entering univariable Cox / log-rank analyses</w:t>
            </w:r>
          </w:p>
        </w:tc>
        <w:tc>
          <w:tcPr>
            <w:tcW w:type="dxa" w:w="3120"/>
          </w:tcPr>
          <w:p>
            <w:pPr>
              <w:spacing w:line="240" w:lineRule="auto" w:after="40"/>
            </w:pPr>
            <w:r/>
            <w:r>
              <w:rPr>
                <w:rFonts w:ascii="Times New Roman" w:hAnsi="Times New Roman"/>
                <w:b w:val="0"/>
                <w:sz w:val="20"/>
              </w:rPr>
              <w:t>364 (130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Entering multivariable models</w:t>
            </w:r>
          </w:p>
        </w:tc>
        <w:tc>
          <w:tcPr>
            <w:tcW w:type="dxa" w:w="3120"/>
          </w:tcPr>
          <w:p>
            <w:pPr>
              <w:spacing w:line="240" w:lineRule="auto" w:after="40"/>
            </w:pPr>
            <w:r/>
            <w:r>
              <w:rPr>
                <w:rFonts w:ascii="Times New Roman" w:hAnsi="Times New Roman"/>
                <w:b w:val="0"/>
                <w:sz w:val="20"/>
              </w:rPr>
              <w:t>341 (117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Sex, male / female (in models)</w:t>
            </w:r>
          </w:p>
        </w:tc>
        <w:tc>
          <w:tcPr>
            <w:tcW w:type="dxa" w:w="3120"/>
          </w:tcPr>
          <w:p>
            <w:pPr>
              <w:spacing w:line="240" w:lineRule="auto" w:after="40"/>
            </w:pPr>
            <w:r/>
            <w:r>
              <w:rPr>
                <w:rFonts w:ascii="Times New Roman" w:hAnsi="Times New Roman"/>
                <w:b w:val="0"/>
                <w:sz w:val="20"/>
              </w:rPr>
              <w:t>232 / 109</w:t>
            </w:r>
          </w:p>
        </w:tc>
        <w:tc>
          <w:tcPr>
            <w:tcW w:type="dxa" w:w="3120"/>
          </w:tcPr>
          <w:p>
            <w:pPr>
              <w:spacing w:line="240" w:lineRule="auto" w:after="40"/>
            </w:pPr>
            <w:r/>
            <w:r>
              <w:rPr>
                <w:rFonts w:ascii="Times New Roman" w:hAnsi="Times New Roman"/>
                <w:b w:val="0"/>
                <w:sz w:val="20"/>
              </w:rPr>
              <w:t>189 / 30</w:t>
            </w:r>
          </w:p>
        </w:tc>
      </w:tr>
      <w:tr>
        <w:tc>
          <w:tcPr>
            <w:tcW w:type="dxa" w:w="3120"/>
          </w:tcPr>
          <w:p>
            <w:pPr>
              <w:spacing w:line="240" w:lineRule="auto" w:after="40"/>
            </w:pPr>
            <w:r/>
            <w:r>
              <w:rPr>
                <w:rFonts w:ascii="Times New Roman" w:hAnsi="Times New Roman"/>
                <w:b w:val="0"/>
                <w:sz w:val="20"/>
              </w:rPr>
              <w:t>Stage I/II / III-IV (in models)</w:t>
            </w:r>
          </w:p>
        </w:tc>
        <w:tc>
          <w:tcPr>
            <w:tcW w:type="dxa" w:w="3120"/>
          </w:tcPr>
          <w:p>
            <w:pPr>
              <w:spacing w:line="240" w:lineRule="auto" w:after="40"/>
            </w:pPr>
            <w:r/>
            <w:r>
              <w:rPr>
                <w:rFonts w:ascii="Times New Roman" w:hAnsi="Times New Roman"/>
                <w:b w:val="0"/>
                <w:sz w:val="20"/>
              </w:rPr>
              <w:t>170 / 171</w:t>
            </w:r>
          </w:p>
        </w:tc>
        <w:tc>
          <w:tcPr>
            <w:tcW w:type="dxa" w:w="3120"/>
          </w:tcPr>
          <w:p>
            <w:pPr>
              <w:spacing w:line="240" w:lineRule="auto" w:after="40"/>
            </w:pPr>
            <w:r/>
            <w:r>
              <w:rPr>
                <w:rFonts w:ascii="Times New Roman" w:hAnsi="Times New Roman"/>
                <w:b w:val="0"/>
                <w:sz w:val="20"/>
              </w:rPr>
              <w:t>170 / 49</w:t>
            </w:r>
          </w:p>
        </w:tc>
      </w:tr>
      <w:tr>
        <w:tc>
          <w:tcPr>
            <w:tcW w:type="dxa" w:w="3120"/>
          </w:tcPr>
          <w:p>
            <w:pPr>
              <w:spacing w:line="240" w:lineRule="auto" w:after="40"/>
            </w:pPr>
            <w:r/>
            <w:r>
              <w:rPr>
                <w:rFonts w:ascii="Times New Roman" w:hAnsi="Times New Roman"/>
                <w:b w:val="0"/>
                <w:sz w:val="20"/>
              </w:rPr>
              <w:t>Median age, years (range)</w:t>
            </w:r>
          </w:p>
        </w:tc>
        <w:tc>
          <w:tcPr>
            <w:tcW w:type="dxa" w:w="3120"/>
          </w:tcPr>
          <w:p>
            <w:pPr>
              <w:spacing w:line="240" w:lineRule="auto" w:after="40"/>
            </w:pPr>
            <w:r/>
            <w:r>
              <w:rPr>
                <w:rFonts w:ascii="Times New Roman" w:hAnsi="Times New Roman"/>
                <w:b w:val="0"/>
                <w:sz w:val="20"/>
              </w:rPr>
              <w:t>61 (16–85)</w:t>
            </w:r>
          </w:p>
        </w:tc>
        <w:tc>
          <w:tcPr>
            <w:tcW w:type="dxa" w:w="3120"/>
          </w:tcPr>
          <w:p>
            <w:pPr>
              <w:spacing w:line="240" w:lineRule="auto" w:after="40"/>
            </w:pPr>
            <w:r/>
            <w:r>
              <w:rPr>
                <w:rFonts w:ascii="Times New Roman" w:hAnsi="Times New Roman"/>
                <w:b w:val="0"/>
                <w:sz w:val="20"/>
              </w:rPr>
              <w:t>50 (21–77)</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