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(HCC) shows substantial prognostic heterogeneity. We screened GSE122482 (10 pairs of HBV-related tumour and peritumour tissues), identified 103 differentially expressed circRNAs, and evaluated the prognostic value of their </w:t>
      </w:r>
      <w:r>
        <w:rPr>
          <w:rFonts w:ascii="Times New Roman" w:hAnsi="Times New Roman"/>
          <w:b/>
          <w:i w:val="0"/>
          <w:sz w:val="24"/>
        </w:rPr>
        <w:t>host-gene mRNAs</w:t>
      </w:r>
      <w:r>
        <w:rPr>
          <w:rFonts w:ascii="Times New Roman" w:hAnsi="Times New Roman"/>
          <w:b w:val="0"/>
          <w:i w:val="0"/>
          <w:sz w:val="24"/>
        </w:rPr>
        <w:t xml:space="preserve"> in TCGA-LIHC (374 tumours) and GSE14520 (225 tumours). The circRNA–miRNA network comprised 15,479 deduplicated edges, 2,378 miRNAs, 79 circRNAs and 73 host genes. Of the host genes, 37 were significant in TCGA and 34 of the 45 evaluable in both cohorts showed concordant direction (76%); six of these met the combined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1.22, P = 0.019; 1.27, P = 0.018); HSD17B6 reached significance in GSE14520 (0.80, P = 0.033) but not TCGA (P = 0.061); the remaining four were not significant after adjustment. Because neither cohort contains circRNA data and GSE122482 provides no matched mRNA quantification,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all 92,204 tested features yielded 3 features at FDR &lt; 0.05, of which 2 belonged to the 103 candidates, against 5,649 features at uncorrected P &lt; 0.05. Comparison with ENCORI/starBase showed minimal overlap between prediction sources (Jaccard 0.000–0.035), indicating that connectivity-based support reflects internal consistency of one prediction resource rather than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indirect-support strategy to validate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comment.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37 host genes was significantly associated with overall survival (Cox regression P &lt; 0.05), of which 25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LRCH1 and CD5 did not reach significance by Cox regression in TCGA (P = 0.086, 0.201, 0.092 and 0.063 respectively); these were included on the basis of significant Cox regression in the validation cohort with concordant direction, and CD5 was additionally significant by the log-rank test in TCGA (P = 0.0019, against a Cox P of 0.063). Figure 3 shows the scatter distribution of hazard ratios in the two cohorts, with 34 paired genes lying close to the diagonal.</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and BCLAF1 expression was associated with poorer outcome (adjusted HR &gt; 1 in each). SREBF2 is the one gene whose adjusted direction is not consistent between cohorts (TCGA-LIHC HR 0.98, GSE14520 HR 1.25); it was concordant in the unadjusted analysis but reverses after adjustment, and is therefore treated as directionally uncertain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258 male and 128 female among the 386 TCGA-LIHC cases analysed — so sex entered every model as a covariate. In TCGA-LIHC (n = 386, 145 events) and GSE14520 (n = 219, 84 events) the adjusted results were:</w:t>
      </w:r>
    </w:p>
    <w:p>
      <w:pPr>
        <w:spacing w:line="240" w:lineRule="auto" w:before="0" w:after="120"/>
      </w:pPr>
      <w:r>
        <w:rPr>
          <w:rFonts w:ascii="Times New Roman" w:hAnsi="Times New Roman"/>
          <w:b w:val="0"/>
          <w:i w:val="0"/>
          <w:sz w:val="24"/>
        </w:rPr>
        <w:t xml:space="preserve">Stage was a strong prognostic factor in both cohorts (adjusted HR 1.72, P = 0.0019 in TCGA; 3.14, P = 1.2 × 10⁻⁶ in GSE14520), confirming that adjustment was informative; sex was not a significant covariate in either cohort (TCGA P = 0.970;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changed little (unadjusted 1.25 to adjusted 1.22 in TCGA; 1.37 to adjusted 1.27 in GSE14520). SREBF2 in GSE14520 lies exactly at the significance boundary (P = 0.050, 95% CI 1.00–1.55) and is therefore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was significant by Cox regression in GSE14520 and by the log-rank test in TCGA, while its high expression correlated positively with several T-cell populations. Notably, CD5 has HR &lt; 1 in both cohorts (unadjusted 0.877 and 0.818; adjusted 0.94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Fig. 7:</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37 prognostic genes in TCGA, 34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with an essentially unchanged effect size, making it the only independently prognostic host gene in this study. HSD17B6 retained significance in GSE14520 but became borderline in TCGA (P = 0.061); BCLAF1, SREBF2, CD5 and LRCH1 lost significance altogether.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circRNA expression microarray,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374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225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(platform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 The 424 samples with expression data exceed the 399 with survival and covariate data, and the 386 entering multivariable models; this attrition reflects missing clinical fields rather than missing expression and is itemised in Supplementary Table S6.</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only NT5DC2 and HSD17B6 among the six validated genes achieved Cox significance in both cohorts, while the TCGA Cox P values for CD5, BCLAF1, LRCH1 and SREBF2 ranged from 0.063 to 0.201.</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386 (145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374) and GSE14520 (n = 225).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Immune infiltration association matrix.</w:t>
      </w:r>
      <w:r>
        <w:rPr>
          <w:rFonts w:ascii="Times New Roman" w:hAnsi="Times New Roman"/>
          <w:b w:val="0"/>
          <w:i w:val="0"/>
          <w:sz w:val="24"/>
        </w:rPr>
        <w:t xml:space="preserve"> Pearson correlation between five genes and 21 immune cell types,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0.013; GSE14520 P = 0.005). Higher HSD17B6 expression was associated with better survival in GSE14520 (log-rank P = 0.007) but not significantly in TCGA (P = 0.067), consistent with its borderline multivariable result there. CD5 shows the reverse pattern: significant by log-rank in TCGA (P = 0.0019) but not in GSE14520 (P = 0.066), while its Cox P values are 0.063 and 0.030. LRCH1 is not significant by log-rank in either cohort (0.344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0" w:after="120"/>
      </w:pPr>
      <w:r>
        <w:rPr>
          <w:rFonts w:ascii="Times New Roman" w:hAnsi="Times New Roman"/>
          <w:b/>
          <w:i w:val="0"/>
          <w:sz w:val="24"/>
        </w:rPr>
        <w:t>Supplementary Table S1 | Eight hub miRNAs ranked by connectivity</w:t>
      </w:r>
    </w:p>
    <w:p>
      <w:pPr>
        <w:spacing w:line="240" w:lineRule="auto" w:before="0" w:after="12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0" w:after="12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0" w:after="12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0" w:after="12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0" w:after="12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Sex and stage distributions of the GSE14520 cohort were verified directly against the Extra Supplement clinical file: sex is coded `M`/`F` (211 male and 31 female among all 247 tumour samples, 189/30 among the 219 entering the models) and stage in the `TNM staging` column (I, II, IIIA, IIIB, IIIC and IV grouped as I/II versus III/IV).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removing non-templated introns from mature circular RNAs. </w:t>
      </w:r>
      <w:r>
        <w:rPr>
          <w:rFonts w:ascii="Times New Roman" w:hAnsi="Times New Roman"/>
          <w:b w:val="0"/>
          <w:i/>
          <w:sz w:val="24"/>
        </w:rPr>
        <w:t>Cell.</w:t>
      </w:r>
      <w:r>
        <w:rPr>
          <w:rFonts w:ascii="Times New Roman" w:hAnsi="Times New Roman"/>
          <w:b w:val="0"/>
          <w:i w:val="0"/>
          <w:sz w:val="24"/>
        </w:rPr>
        <w:t xml:space="preserve"> 2013;155(4):873–884. doi:10.1016/j.cell.2013.09.029</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Li Z, Ruan K, Jin C, et al. Circular RNA-mediated miRNA sponge promotes tumorigenesis. </w:t>
      </w:r>
      <w:r>
        <w:rPr>
          <w:rFonts w:ascii="Times New Roman" w:hAnsi="Times New Roman"/>
          <w:b w:val="0"/>
          <w:i/>
          <w:sz w:val="24"/>
        </w:rPr>
        <w:t>Cancer Res.</w:t>
      </w:r>
      <w:r>
        <w:rPr>
          <w:rFonts w:ascii="Times New Roman" w:hAnsi="Times New Roman"/>
          <w:b w:val="0"/>
          <w:i w:val="0"/>
          <w:sz w:val="24"/>
        </w:rPr>
        <w:t xml:space="preserve"> 2019;79(7):1652–1666. doi:10.1158/0008-5472.CAN-18-1563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2,000 words (limit 4,500). </w:t>
      </w:r>
      <w:r>
        <w:rPr>
          <w:rFonts w:ascii="Times New Roman" w:hAnsi="Times New Roman"/>
          <w:b/>
          <w:i w:val="0"/>
          <w:sz w:val="24"/>
        </w:rPr>
        <w:t>Abstract</w:t>
      </w:r>
      <w:r>
        <w:rPr>
          <w:rFonts w:ascii="Times New Roman" w:hAnsi="Times New Roman"/>
          <w:b w:val="0"/>
          <w:i w:val="0"/>
          <w:sz w:val="24"/>
        </w:rPr>
        <w:t xml:space="preserve">: 195 words (limit 200). </w:t>
      </w:r>
      <w:r>
        <w:rPr>
          <w:rFonts w:ascii="Times New Roman" w:hAnsi="Times New Roman"/>
          <w:b/>
          <w:i w:val="0"/>
          <w:sz w:val="24"/>
        </w:rPr>
        <w:t>Display items</w:t>
      </w:r>
      <w:r>
        <w:rPr>
          <w:rFonts w:ascii="Times New Roman" w:hAnsi="Times New Roman"/>
          <w:b w:val="0"/>
          <w:i w:val="0"/>
          <w:sz w:val="24"/>
        </w:rPr>
        <w:t xml:space="preserve">: 7 figures and 1 main table, plus 6 supplementary tables.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Gene</w:t>
            </w:r>
          </w:p>
        </w:tc>
        <w:tc>
          <w:tcPr>
            <w:tcW w:type="dxa" w:w="2340"/>
          </w:tcPr>
          <w:p>
            <w:pPr>
              <w:spacing w:line="240" w:lineRule="auto" w:after="40"/>
            </w:pPr>
            <w:r/>
            <w:r>
              <w:rPr>
                <w:rFonts w:ascii="Times New Roman" w:hAnsi="Times New Roman"/>
                <w:b/>
                <w:sz w:val="20"/>
              </w:rPr>
              <w:t>TCGA adjusted HR (95% CI), P</w:t>
            </w:r>
          </w:p>
        </w:tc>
        <w:tc>
          <w:tcPr>
            <w:tcW w:type="dxa" w:w="2340"/>
          </w:tcPr>
          <w:p>
            <w:pPr>
              <w:spacing w:line="240" w:lineRule="auto" w:after="40"/>
            </w:pPr>
            <w:r/>
            <w:r>
              <w:rPr>
                <w:rFonts w:ascii="Times New Roman" w:hAnsi="Times New Roman"/>
                <w:b/>
                <w:sz w:val="20"/>
              </w:rPr>
              <w:t>GSE14520 adjusted HR (95% CI), P</w:t>
            </w:r>
          </w:p>
        </w:tc>
        <w:tc>
          <w:tcPr>
            <w:tcW w:type="dxa" w:w="2340"/>
          </w:tcPr>
          <w:p>
            <w:pPr>
              <w:spacing w:line="240" w:lineRule="auto" w:after="40"/>
            </w:pPr>
            <w:r/>
            <w:r>
              <w:rPr>
                <w:rFonts w:ascii="Times New Roman" w:hAnsi="Times New Roman"/>
                <w:b/>
                <w:sz w:val="20"/>
              </w:rPr>
              <w:t>Independent in both cohorts</w:t>
            </w:r>
          </w:p>
        </w:tc>
      </w:tr>
      <w:tr>
        <w:tc>
          <w:tcPr>
            <w:tcW w:type="dxa" w:w="2340"/>
          </w:tcPr>
          <w:p>
            <w:pPr>
              <w:spacing w:line="240" w:lineRule="auto" w:after="40"/>
            </w:pPr>
            <w:r/>
            <w:r>
              <w:rPr>
                <w:rFonts w:ascii="Times New Roman" w:hAnsi="Times New Roman"/>
                <w:b w:val="0"/>
                <w:sz w:val="20"/>
              </w:rPr>
              <w:t>NT5DC2</w:t>
            </w:r>
          </w:p>
        </w:tc>
        <w:tc>
          <w:tcPr>
            <w:tcW w:type="dxa" w:w="2340"/>
          </w:tcPr>
          <w:p>
            <w:pPr>
              <w:spacing w:line="240" w:lineRule="auto" w:after="40"/>
            </w:pPr>
            <w:r/>
            <w:r>
              <w:rPr>
                <w:rFonts w:ascii="Times New Roman" w:hAnsi="Times New Roman"/>
                <w:b w:val="0"/>
                <w:sz w:val="20"/>
              </w:rPr>
              <w:t>1.22 (1.03–1.44), P = 0.019</w:t>
            </w:r>
          </w:p>
        </w:tc>
        <w:tc>
          <w:tcPr>
            <w:tcW w:type="dxa" w:w="2340"/>
          </w:tcPr>
          <w:p>
            <w:pPr>
              <w:spacing w:line="240" w:lineRule="auto" w:after="40"/>
            </w:pPr>
            <w:r/>
            <w:r>
              <w:rPr>
                <w:rFonts w:ascii="Times New Roman" w:hAnsi="Times New Roman"/>
                <w:b w:val="0"/>
                <w:sz w:val="20"/>
              </w:rPr>
              <w:t>1.27 (1.04–1.54), P = 0.018</w:t>
            </w:r>
          </w:p>
        </w:tc>
        <w:tc>
          <w:tcPr>
            <w:tcW w:type="dxa" w:w="2340"/>
          </w:tcPr>
          <w:p>
            <w:pPr>
              <w:spacing w:line="240" w:lineRule="auto" w:after="40"/>
            </w:pPr>
            <w:r/>
            <w:r>
              <w:rPr>
                <w:rFonts w:ascii="Times New Roman" w:hAnsi="Times New Roman"/>
                <w:b w:val="0"/>
                <w:sz w:val="20"/>
              </w:rPr>
              <w:t>Yes</w:t>
            </w:r>
          </w:p>
        </w:tc>
      </w:tr>
      <w:tr>
        <w:tc>
          <w:tcPr>
            <w:tcW w:type="dxa" w:w="2340"/>
          </w:tcPr>
          <w:p>
            <w:pPr>
              <w:spacing w:line="240" w:lineRule="auto" w:after="40"/>
            </w:pPr>
            <w:r/>
            <w:r>
              <w:rPr>
                <w:rFonts w:ascii="Times New Roman" w:hAnsi="Times New Roman"/>
                <w:b w:val="0"/>
                <w:sz w:val="20"/>
              </w:rPr>
              <w:t>HSD17B6</w:t>
            </w:r>
          </w:p>
        </w:tc>
        <w:tc>
          <w:tcPr>
            <w:tcW w:type="dxa" w:w="2340"/>
          </w:tcPr>
          <w:p>
            <w:pPr>
              <w:spacing w:line="240" w:lineRule="auto" w:after="40"/>
            </w:pPr>
            <w:r/>
            <w:r>
              <w:rPr>
                <w:rFonts w:ascii="Times New Roman" w:hAnsi="Times New Roman"/>
                <w:b w:val="0"/>
                <w:sz w:val="20"/>
              </w:rPr>
              <w:t>0.87 (0.75–1.01), P = 0.061</w:t>
            </w:r>
          </w:p>
        </w:tc>
        <w:tc>
          <w:tcPr>
            <w:tcW w:type="dxa" w:w="2340"/>
          </w:tcPr>
          <w:p>
            <w:pPr>
              <w:spacing w:line="240" w:lineRule="auto" w:after="40"/>
            </w:pPr>
            <w:r/>
            <w:r>
              <w:rPr>
                <w:rFonts w:ascii="Times New Roman" w:hAnsi="Times New Roman"/>
                <w:b w:val="0"/>
                <w:sz w:val="20"/>
              </w:rPr>
              <w:t>0.80 (0.65–0.98), P = 0.033</w:t>
            </w:r>
          </w:p>
        </w:tc>
        <w:tc>
          <w:tcPr>
            <w:tcW w:type="dxa" w:w="2340"/>
          </w:tcPr>
          <w:p>
            <w:pPr>
              <w:spacing w:line="240" w:lineRule="auto" w:after="40"/>
            </w:pPr>
            <w:r/>
            <w:r>
              <w:rPr>
                <w:rFonts w:ascii="Times New Roman" w:hAnsi="Times New Roman"/>
                <w:b w:val="0"/>
                <w:sz w:val="20"/>
              </w:rPr>
              <w:t>No (TCGA borderline)</w:t>
            </w:r>
          </w:p>
        </w:tc>
      </w:tr>
      <w:tr>
        <w:tc>
          <w:tcPr>
            <w:tcW w:type="dxa" w:w="2340"/>
          </w:tcPr>
          <w:p>
            <w:pPr>
              <w:spacing w:line="240" w:lineRule="auto" w:after="40"/>
            </w:pPr>
            <w:r/>
            <w:r>
              <w:rPr>
                <w:rFonts w:ascii="Times New Roman" w:hAnsi="Times New Roman"/>
                <w:b w:val="0"/>
                <w:sz w:val="20"/>
              </w:rPr>
              <w:t>BCLAF1</w:t>
            </w:r>
          </w:p>
        </w:tc>
        <w:tc>
          <w:tcPr>
            <w:tcW w:type="dxa" w:w="2340"/>
          </w:tcPr>
          <w:p>
            <w:pPr>
              <w:spacing w:line="240" w:lineRule="auto" w:after="40"/>
            </w:pPr>
            <w:r/>
            <w:r>
              <w:rPr>
                <w:rFonts w:ascii="Times New Roman" w:hAnsi="Times New Roman"/>
                <w:b w:val="0"/>
                <w:sz w:val="20"/>
              </w:rPr>
              <w:t>1.06 (0.89–1.26), P = 0.504</w:t>
            </w:r>
          </w:p>
        </w:tc>
        <w:tc>
          <w:tcPr>
            <w:tcW w:type="dxa" w:w="2340"/>
          </w:tcPr>
          <w:p>
            <w:pPr>
              <w:spacing w:line="240" w:lineRule="auto" w:after="40"/>
            </w:pPr>
            <w:r/>
            <w:r>
              <w:rPr>
                <w:rFonts w:ascii="Times New Roman" w:hAnsi="Times New Roman"/>
                <w:b w:val="0"/>
                <w:sz w:val="20"/>
              </w:rPr>
              <w:t>1.20 (0.96–1.51), P = 0.114</w:t>
            </w:r>
          </w:p>
        </w:tc>
        <w:tc>
          <w:tcPr>
            <w:tcW w:type="dxa" w:w="2340"/>
          </w:tcPr>
          <w:p>
            <w:pPr>
              <w:spacing w:line="240" w:lineRule="auto" w:after="40"/>
            </w:pPr>
            <w:r/>
            <w:r>
              <w:rPr>
                <w:rFonts w:ascii="Times New Roman" w:hAnsi="Times New Roman"/>
                <w:b w:val="0"/>
                <w:sz w:val="20"/>
              </w:rPr>
              <w:t>No</w:t>
            </w:r>
          </w:p>
        </w:tc>
      </w:tr>
      <w:tr>
        <w:tc>
          <w:tcPr>
            <w:tcW w:type="dxa" w:w="2340"/>
          </w:tcPr>
          <w:p>
            <w:pPr>
              <w:spacing w:line="240" w:lineRule="auto" w:after="40"/>
            </w:pPr>
            <w:r/>
            <w:r>
              <w:rPr>
                <w:rFonts w:ascii="Times New Roman" w:hAnsi="Times New Roman"/>
                <w:b w:val="0"/>
                <w:sz w:val="20"/>
              </w:rPr>
              <w:t>SREBF2</w:t>
            </w:r>
          </w:p>
        </w:tc>
        <w:tc>
          <w:tcPr>
            <w:tcW w:type="dxa" w:w="2340"/>
          </w:tcPr>
          <w:p>
            <w:pPr>
              <w:spacing w:line="240" w:lineRule="auto" w:after="40"/>
            </w:pPr>
            <w:r/>
            <w:r>
              <w:rPr>
                <w:rFonts w:ascii="Times New Roman" w:hAnsi="Times New Roman"/>
                <w:b w:val="0"/>
                <w:sz w:val="20"/>
              </w:rPr>
              <w:t>0.98 (0.83–1.15), P = 0.782</w:t>
            </w:r>
          </w:p>
        </w:tc>
        <w:tc>
          <w:tcPr>
            <w:tcW w:type="dxa" w:w="2340"/>
          </w:tcPr>
          <w:p>
            <w:pPr>
              <w:spacing w:line="240" w:lineRule="auto" w:after="40"/>
            </w:pPr>
            <w:r/>
            <w:r>
              <w:rPr>
                <w:rFonts w:ascii="Times New Roman" w:hAnsi="Times New Roman"/>
                <w:b w:val="0"/>
                <w:sz w:val="20"/>
              </w:rPr>
              <w:t>1.25 (1.00–1.55), P = 0.050</w:t>
            </w:r>
          </w:p>
        </w:tc>
        <w:tc>
          <w:tcPr>
            <w:tcW w:type="dxa" w:w="2340"/>
          </w:tcPr>
          <w:p>
            <w:pPr>
              <w:spacing w:line="240" w:lineRule="auto" w:after="40"/>
            </w:pPr>
            <w:r/>
            <w:r>
              <w:rPr>
                <w:rFonts w:ascii="Times New Roman" w:hAnsi="Times New Roman"/>
                <w:b w:val="0"/>
                <w:sz w:val="20"/>
              </w:rPr>
              <w:t>No (CI lower bound 1.00; not significant)</w:t>
            </w:r>
          </w:p>
        </w:tc>
      </w:tr>
      <w:tr>
        <w:tc>
          <w:tcPr>
            <w:tcW w:type="dxa" w:w="2340"/>
          </w:tcPr>
          <w:p>
            <w:pPr>
              <w:spacing w:line="240" w:lineRule="auto" w:after="40"/>
            </w:pPr>
            <w:r/>
            <w:r>
              <w:rPr>
                <w:rFonts w:ascii="Times New Roman" w:hAnsi="Times New Roman"/>
                <w:b w:val="0"/>
                <w:sz w:val="20"/>
              </w:rPr>
              <w:t>CD5</w:t>
            </w:r>
          </w:p>
        </w:tc>
        <w:tc>
          <w:tcPr>
            <w:tcW w:type="dxa" w:w="2340"/>
          </w:tcPr>
          <w:p>
            <w:pPr>
              <w:spacing w:line="240" w:lineRule="auto" w:after="40"/>
            </w:pPr>
            <w:r/>
            <w:r>
              <w:rPr>
                <w:rFonts w:ascii="Times New Roman" w:hAnsi="Times New Roman"/>
                <w:b w:val="0"/>
                <w:sz w:val="20"/>
              </w:rPr>
              <w:t>0.94 (0.79–1.11), P = 0.456</w:t>
            </w:r>
          </w:p>
        </w:tc>
        <w:tc>
          <w:tcPr>
            <w:tcW w:type="dxa" w:w="2340"/>
          </w:tcPr>
          <w:p>
            <w:pPr>
              <w:spacing w:line="240" w:lineRule="auto" w:after="40"/>
            </w:pPr>
            <w:r/>
            <w:r>
              <w:rPr>
                <w:rFonts w:ascii="Times New Roman" w:hAnsi="Times New Roman"/>
                <w:b w:val="0"/>
                <w:sz w:val="20"/>
              </w:rPr>
              <w:t>0.81 (0.65–1.02), P = 0.069</w:t>
            </w:r>
          </w:p>
        </w:tc>
        <w:tc>
          <w:tcPr>
            <w:tcW w:type="dxa" w:w="2340"/>
          </w:tcPr>
          <w:p>
            <w:pPr>
              <w:spacing w:line="240" w:lineRule="auto" w:after="40"/>
            </w:pPr>
            <w:r/>
            <w:r>
              <w:rPr>
                <w:rFonts w:ascii="Times New Roman" w:hAnsi="Times New Roman"/>
                <w:b w:val="0"/>
                <w:sz w:val="20"/>
              </w:rPr>
              <w:t>No</w:t>
            </w:r>
          </w:p>
        </w:tc>
      </w:tr>
      <w:tr>
        <w:tc>
          <w:tcPr>
            <w:tcW w:type="dxa" w:w="2340"/>
          </w:tcPr>
          <w:p>
            <w:pPr>
              <w:spacing w:line="240" w:lineRule="auto" w:after="40"/>
            </w:pPr>
            <w:r/>
            <w:r>
              <w:rPr>
                <w:rFonts w:ascii="Times New Roman" w:hAnsi="Times New Roman"/>
                <w:b w:val="0"/>
                <w:sz w:val="20"/>
              </w:rPr>
              <w:t>LRCH1</w:t>
            </w:r>
          </w:p>
        </w:tc>
        <w:tc>
          <w:tcPr>
            <w:tcW w:type="dxa" w:w="2340"/>
          </w:tcPr>
          <w:p>
            <w:pPr>
              <w:spacing w:line="240" w:lineRule="auto" w:after="40"/>
            </w:pPr>
            <w:r/>
            <w:r>
              <w:rPr>
                <w:rFonts w:ascii="Times New Roman" w:hAnsi="Times New Roman"/>
                <w:b w:val="0"/>
                <w:sz w:val="20"/>
              </w:rPr>
              <w:t>0.91 (0.77–1.07), P = 0.258</w:t>
            </w:r>
          </w:p>
        </w:tc>
        <w:tc>
          <w:tcPr>
            <w:tcW w:type="dxa" w:w="2340"/>
          </w:tcPr>
          <w:p>
            <w:pPr>
              <w:spacing w:line="240" w:lineRule="auto" w:after="40"/>
            </w:pPr>
            <w:r/>
            <w:r>
              <w:rPr>
                <w:rFonts w:ascii="Times New Roman" w:hAnsi="Times New Roman"/>
                <w:b w:val="0"/>
                <w:sz w:val="20"/>
              </w:rPr>
              <w:t>0.85 (0.66–1.08), P = 0.179</w:t>
            </w:r>
          </w:p>
        </w:tc>
        <w:tc>
          <w:tcPr>
            <w:tcW w:type="dxa" w:w="2340"/>
          </w:tcPr>
          <w:p>
            <w:pPr>
              <w:spacing w:line="240" w:lineRule="auto" w:after="40"/>
            </w:pPr>
            <w:r/>
            <w:r>
              <w:rPr>
                <w:rFonts w:ascii="Times New Roman" w:hAnsi="Times New Roman"/>
                <w:b w:val="0"/>
                <w:sz w:val="20"/>
              </w:rPr>
              <w:t>No</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w:t>
            </w:r>
          </w:p>
        </w:tc>
        <w:tc>
          <w:tcPr>
            <w:tcW w:type="dxa" w:w="1040"/>
          </w:tcPr>
          <w:p>
            <w:pPr>
              <w:spacing w:line="240" w:lineRule="auto" w:after="40"/>
            </w:pPr>
            <w:r/>
            <w:r>
              <w:rPr>
                <w:rFonts w:ascii="Times New Roman" w:hAnsi="Times New Roman"/>
                <w:b/>
                <w:sz w:val="20"/>
              </w:rPr>
              <w:t>P_cox (TCGA)</w:t>
            </w:r>
          </w:p>
        </w:tc>
        <w:tc>
          <w:tcPr>
            <w:tcW w:type="dxa" w:w="1040"/>
          </w:tcPr>
          <w:p>
            <w:pPr>
              <w:spacing w:line="240" w:lineRule="auto" w:after="40"/>
            </w:pPr>
            <w:r/>
            <w:r>
              <w:rPr>
                <w:rFonts w:ascii="Times New Roman" w:hAnsi="Times New Roman"/>
                <w:b/>
                <w:sz w:val="20"/>
              </w:rPr>
              <w:t>P_logrank (TCGA)</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(14520)</w:t>
            </w:r>
          </w:p>
        </w:tc>
        <w:tc>
          <w:tcPr>
            <w:tcW w:type="dxa" w:w="1040"/>
          </w:tcPr>
          <w:p>
            <w:pPr>
              <w:spacing w:line="240" w:lineRule="auto" w:after="40"/>
            </w:pPr>
            <w:r/>
            <w:r>
              <w:rPr>
                <w:rFonts w:ascii="Times New Roman" w:hAnsi="Times New Roman"/>
                <w:b/>
                <w:sz w:val="20"/>
              </w:rPr>
              <w:t>Adjusted HR (TCGA), P</w:t>
            </w:r>
          </w:p>
        </w:tc>
        <w:tc>
          <w:tcPr>
            <w:tcW w:type="dxa" w:w="1040"/>
          </w:tcPr>
          <w:p>
            <w:pPr>
              <w:spacing w:line="240" w:lineRule="auto" w:after="40"/>
            </w:pPr>
            <w:r/>
            <w:r>
              <w:rPr>
                <w:rFonts w:ascii="Times New Roman" w:hAnsi="Times New Roman"/>
                <w:b/>
                <w:sz w:val="20"/>
              </w:rPr>
              <w:t>Adjusted HR (14520),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1.509</w:t>
            </w:r>
          </w:p>
        </w:tc>
        <w:tc>
          <w:tcPr>
            <w:tcW w:type="dxa" w:w="1040"/>
          </w:tcPr>
          <w:p>
            <w:pPr>
              <w:spacing w:line="240" w:lineRule="auto" w:after="40"/>
            </w:pPr>
            <w:r/>
            <w:r>
              <w:rPr>
                <w:rFonts w:ascii="Times New Roman" w:hAnsi="Times New Roman"/>
                <w:b w:val="0"/>
                <w:sz w:val="20"/>
              </w:rPr>
              <w:t>1.62 × 10⁻⁵</w:t>
            </w:r>
          </w:p>
        </w:tc>
        <w:tc>
          <w:tcPr>
            <w:tcW w:type="dxa" w:w="1040"/>
          </w:tcPr>
          <w:p>
            <w:pPr>
              <w:spacing w:line="240" w:lineRule="auto" w:after="40"/>
            </w:pPr>
            <w:r/>
            <w:r>
              <w:rPr>
                <w:rFonts w:ascii="Times New Roman" w:hAnsi="Times New Roman"/>
                <w:b w:val="0"/>
                <w:sz w:val="20"/>
              </w:rPr>
              <w:t>0.013</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1.219, 0.019</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0.756</w:t>
            </w:r>
          </w:p>
        </w:tc>
        <w:tc>
          <w:tcPr>
            <w:tcW w:type="dxa" w:w="1040"/>
          </w:tcPr>
          <w:p>
            <w:pPr>
              <w:spacing w:line="240" w:lineRule="auto" w:after="40"/>
            </w:pPr>
            <w:r/>
            <w:r>
              <w:rPr>
                <w:rFonts w:ascii="Times New Roman" w:hAnsi="Times New Roman"/>
                <w:b w:val="0"/>
                <w:sz w:val="20"/>
              </w:rPr>
              <w:t>1.23 × 10⁻³</w:t>
            </w:r>
          </w:p>
        </w:tc>
        <w:tc>
          <w:tcPr>
            <w:tcW w:type="dxa" w:w="1040"/>
          </w:tcPr>
          <w:p>
            <w:pPr>
              <w:spacing w:line="240" w:lineRule="auto" w:after="40"/>
            </w:pPr>
            <w:r/>
            <w:r>
              <w:rPr>
                <w:rFonts w:ascii="Times New Roman" w:hAnsi="Times New Roman"/>
                <w:b w:val="0"/>
                <w:sz w:val="20"/>
              </w:rPr>
              <w:t>0.067</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0.866, 0.061</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1.133</w:t>
            </w:r>
          </w:p>
        </w:tc>
        <w:tc>
          <w:tcPr>
            <w:tcW w:type="dxa" w:w="1040"/>
          </w:tcPr>
          <w:p>
            <w:pPr>
              <w:spacing w:line="240" w:lineRule="auto" w:after="40"/>
            </w:pPr>
            <w:r/>
            <w:r>
              <w:rPr>
                <w:rFonts w:ascii="Times New Roman" w:hAnsi="Times New Roman"/>
                <w:b w:val="0"/>
                <w:sz w:val="20"/>
              </w:rPr>
              <w:t>0.086</w:t>
            </w:r>
          </w:p>
        </w:tc>
        <w:tc>
          <w:tcPr>
            <w:tcW w:type="dxa" w:w="1040"/>
          </w:tcPr>
          <w:p>
            <w:pPr>
              <w:spacing w:line="240" w:lineRule="auto" w:after="40"/>
            </w:pPr>
            <w:r/>
            <w:r>
              <w:rPr>
                <w:rFonts w:ascii="Times New Roman" w:hAnsi="Times New Roman"/>
                <w:b w:val="0"/>
                <w:sz w:val="20"/>
              </w:rPr>
              <w:t>0.248</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1.061, 0.504</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1.077</w:t>
            </w:r>
          </w:p>
        </w:tc>
        <w:tc>
          <w:tcPr>
            <w:tcW w:type="dxa" w:w="1040"/>
          </w:tcPr>
          <w:p>
            <w:pPr>
              <w:spacing w:line="240" w:lineRule="auto" w:after="40"/>
            </w:pPr>
            <w:r/>
            <w:r>
              <w:rPr>
                <w:rFonts w:ascii="Times New Roman" w:hAnsi="Times New Roman"/>
                <w:b w:val="0"/>
                <w:sz w:val="20"/>
              </w:rPr>
              <w:t>0.201</w:t>
            </w:r>
          </w:p>
        </w:tc>
        <w:tc>
          <w:tcPr>
            <w:tcW w:type="dxa" w:w="1040"/>
          </w:tcPr>
          <w:p>
            <w:pPr>
              <w:spacing w:line="240" w:lineRule="auto" w:after="40"/>
            </w:pPr>
            <w:r/>
            <w:r>
              <w:rPr>
                <w:rFonts w:ascii="Times New Roman" w:hAnsi="Times New Roman"/>
                <w:b w:val="0"/>
                <w:sz w:val="20"/>
              </w:rPr>
              <w:t>0.427</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0.977, 0.782</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0.893</w:t>
            </w:r>
          </w:p>
        </w:tc>
        <w:tc>
          <w:tcPr>
            <w:tcW w:type="dxa" w:w="1040"/>
          </w:tcPr>
          <w:p>
            <w:pPr>
              <w:spacing w:line="240" w:lineRule="auto" w:after="40"/>
            </w:pPr>
            <w:r/>
            <w:r>
              <w:rPr>
                <w:rFonts w:ascii="Times New Roman" w:hAnsi="Times New Roman"/>
                <w:b w:val="0"/>
                <w:sz w:val="20"/>
              </w:rPr>
              <w:t>0.092</w:t>
            </w:r>
          </w:p>
        </w:tc>
        <w:tc>
          <w:tcPr>
            <w:tcW w:type="dxa" w:w="1040"/>
          </w:tcPr>
          <w:p>
            <w:pPr>
              <w:spacing w:line="240" w:lineRule="auto" w:after="40"/>
            </w:pPr>
            <w:r/>
            <w:r>
              <w:rPr>
                <w:rFonts w:ascii="Times New Roman" w:hAnsi="Times New Roman"/>
                <w:b w:val="0"/>
                <w:sz w:val="20"/>
              </w:rPr>
              <w:t>0.344</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0.909, 0.258</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0.877</w:t>
            </w:r>
          </w:p>
        </w:tc>
        <w:tc>
          <w:tcPr>
            <w:tcW w:type="dxa" w:w="1040"/>
          </w:tcPr>
          <w:p>
            <w:pPr>
              <w:spacing w:line="240" w:lineRule="auto" w:after="40"/>
            </w:pPr>
            <w:r/>
            <w:r>
              <w:rPr>
                <w:rFonts w:ascii="Times New Roman" w:hAnsi="Times New Roman"/>
                <w:b w:val="0"/>
                <w:sz w:val="20"/>
              </w:rPr>
              <w:t>0.063</w:t>
            </w:r>
          </w:p>
        </w:tc>
        <w:tc>
          <w:tcPr>
            <w:tcW w:type="dxa" w:w="1040"/>
          </w:tcPr>
          <w:p>
            <w:pPr>
              <w:spacing w:line="240" w:lineRule="auto" w:after="40"/>
            </w:pPr>
            <w:r/>
            <w:r>
              <w:rPr>
                <w:rFonts w:ascii="Times New Roman" w:hAnsi="Times New Roman"/>
                <w:b w:val="0"/>
                <w:sz w:val="20"/>
              </w:rPr>
              <w:t>0.0019</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0.936, 0.456</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1.219 (1.033–1.439)</w:t>
            </w:r>
          </w:p>
        </w:tc>
        <w:tc>
          <w:tcPr>
            <w:tcW w:type="dxa" w:w="1872"/>
          </w:tcPr>
          <w:p>
            <w:pPr>
              <w:spacing w:line="240" w:lineRule="auto" w:after="40"/>
            </w:pPr>
            <w:r/>
            <w:r>
              <w:rPr>
                <w:rFonts w:ascii="Times New Roman" w:hAnsi="Times New Roman"/>
                <w:b w:val="0"/>
                <w:sz w:val="20"/>
              </w:rPr>
              <w:t>0.0191</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1.720 (1.221–2.424)</w:t>
            </w:r>
          </w:p>
        </w:tc>
        <w:tc>
          <w:tcPr>
            <w:tcW w:type="dxa" w:w="1872"/>
          </w:tcPr>
          <w:p>
            <w:pPr>
              <w:spacing w:line="240" w:lineRule="auto" w:after="40"/>
            </w:pPr>
            <w:r/>
            <w:r>
              <w:rPr>
                <w:rFonts w:ascii="Times New Roman" w:hAnsi="Times New Roman"/>
                <w:b w:val="0"/>
                <w:sz w:val="20"/>
              </w:rPr>
              <w:t>0.0019</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1.009 (0.996–1.022)</w:t>
            </w:r>
          </w:p>
        </w:tc>
        <w:tc>
          <w:tcPr>
            <w:tcW w:type="dxa" w:w="1872"/>
          </w:tcPr>
          <w:p>
            <w:pPr>
              <w:spacing w:line="240" w:lineRule="auto" w:after="40"/>
            </w:pPr>
            <w:r/>
            <w:r>
              <w:rPr>
                <w:rFonts w:ascii="Times New Roman" w:hAnsi="Times New Roman"/>
                <w:b w:val="0"/>
                <w:sz w:val="20"/>
              </w:rPr>
              <w:t>0.182</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386 (145)</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1.007 (0.710–1.427)</w:t>
            </w:r>
          </w:p>
        </w:tc>
        <w:tc>
          <w:tcPr>
            <w:tcW w:type="dxa" w:w="1872"/>
          </w:tcPr>
          <w:p>
            <w:pPr>
              <w:spacing w:line="240" w:lineRule="auto" w:after="40"/>
            </w:pPr>
            <w:r/>
            <w:r>
              <w:rPr>
                <w:rFonts w:ascii="Times New Roman" w:hAnsi="Times New Roman"/>
                <w:b w:val="0"/>
                <w:sz w:val="20"/>
              </w:rPr>
              <w:t>0.970</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Samples with expression data</w:t>
            </w:r>
          </w:p>
        </w:tc>
        <w:tc>
          <w:tcPr>
            <w:tcW w:type="dxa" w:w="3120"/>
          </w:tcPr>
          <w:p>
            <w:pPr>
              <w:spacing w:line="240" w:lineRule="auto" w:after="40"/>
            </w:pPr>
            <w:r/>
            <w:r>
              <w:rPr>
                <w:rFonts w:ascii="Times New Roman" w:hAnsi="Times New Roman"/>
                <w:b w:val="0"/>
                <w:sz w:val="20"/>
              </w:rPr>
              <w:t>424</w:t>
            </w:r>
          </w:p>
        </w:tc>
        <w:tc>
          <w:tcPr>
            <w:tcW w:type="dxa" w:w="3120"/>
          </w:tcPr>
          <w:p>
            <w:pPr>
              <w:spacing w:line="240" w:lineRule="auto" w:after="40"/>
            </w:pPr>
            <w:r/>
            <w:r>
              <w:rPr>
                <w:rFonts w:ascii="Times New Roman" w:hAnsi="Times New Roman"/>
                <w:b w:val="0"/>
                <w:sz w:val="20"/>
              </w:rPr>
              <w:t>445</w:t>
            </w:r>
          </w:p>
        </w:tc>
      </w:tr>
      <w:tr>
        <w:tc>
          <w:tcPr>
            <w:tcW w:type="dxa" w:w="3120"/>
          </w:tcPr>
          <w:p>
            <w:pPr>
              <w:spacing w:line="240" w:lineRule="auto" w:after="40"/>
            </w:pPr>
            <w:r/>
            <w:r>
              <w:rPr>
                <w:rFonts w:ascii="Times New Roman" w:hAnsi="Times New Roman"/>
                <w:b w:val="0"/>
                <w:sz w:val="20"/>
              </w:rPr>
              <w:t>Samples with survival and covariate data</w:t>
            </w:r>
          </w:p>
        </w:tc>
        <w:tc>
          <w:tcPr>
            <w:tcW w:type="dxa" w:w="3120"/>
          </w:tcPr>
          <w:p>
            <w:pPr>
              <w:spacing w:line="240" w:lineRule="auto" w:after="40"/>
            </w:pPr>
            <w:r/>
            <w:r>
              <w:rPr>
                <w:rFonts w:ascii="Times New Roman" w:hAnsi="Times New Roman"/>
                <w:b w:val="0"/>
                <w:sz w:val="20"/>
              </w:rPr>
              <w:t>399</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Samples entering multivariable models</w:t>
            </w:r>
          </w:p>
        </w:tc>
        <w:tc>
          <w:tcPr>
            <w:tcW w:type="dxa" w:w="3120"/>
          </w:tcPr>
          <w:p>
            <w:pPr>
              <w:spacing w:line="240" w:lineRule="auto" w:after="40"/>
            </w:pPr>
            <w:r/>
            <w:r>
              <w:rPr>
                <w:rFonts w:ascii="Times New Roman" w:hAnsi="Times New Roman"/>
                <w:b w:val="0"/>
                <w:sz w:val="20"/>
              </w:rPr>
              <w:t>386 (145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258 / 128</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190 / 196</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