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黑体"/>
          <w:b/>
          <w:color w:val="000000"/>
          <w:sz w:val="36"/>
        </w:rPr>
        <w:t>基于多维振动特征与机器学习的水泵故障诊断系统研究</w:t>
        <w:br/>
      </w:r>
      <w:r>
        <w:rPr>
          <w:rFonts w:ascii="Times New Roman" w:hAnsi="Times New Roman" w:eastAsia="黑体"/>
          <w:b/>
          <w:color w:val="000000"/>
          <w:sz w:val="36"/>
        </w:rPr>
        <w:t>论文 6 章框架与各章节内容安排</w:t>
      </w:r>
    </w:p>
    <w:p>
      <w:pPr>
        <w:spacing w:after="280"/>
        <w:jc w:val="center"/>
      </w:pPr>
      <w:r>
        <w:rPr>
          <w:rFonts w:ascii="Times New Roman" w:hAnsi="Times New Roman" w:eastAsia="宋体"/>
          <w:color w:val="555555"/>
          <w:sz w:val="26"/>
        </w:rPr>
        <w:t>章节标题、小节安排与正文写作要点</w:t>
      </w:r>
    </w:p>
    <w:p>
      <w:pPr>
        <w:spacing w:line="276" w:lineRule="auto" w:after="80"/>
      </w:pPr>
      <w:r>
        <w:rPr>
          <w:rFonts w:ascii="Times New Roman" w:hAnsi="Times New Roman" w:eastAsia="宋体"/>
        </w:rPr>
        <w:t>定位说明：本框架是在前期“振动信号 + 小波包能量特征 + BP 神经网络 + MATLAB 诊断系统”基础上进行扩展，重点转向“时域/频域/小波包/包络谱多维振动特征 + SVM/随机森林/BP 模型对比 + 诊断系统或诊断仪原型”。整体压缩为 6 章，更适合专业硕士论文的工作量和工程应用导向。</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34"/>
            <w:vAlign w:val="center"/>
            <w:tcMar>
              <w:top w:w="80" w:type="dxa"/>
              <w:start w:w="120" w:type="dxa"/>
              <w:bottom w:w="80" w:type="dxa"/>
              <w:end w:w="120" w:type="dxa"/>
            </w:tcMar>
            <w:shd w:fill="F2F4F7"/>
          </w:tcPr>
          <w:p>
            <w:pPr>
              <w:spacing w:after="40"/>
            </w:pPr>
            <w:r>
              <w:rPr>
                <w:rFonts w:ascii="SimSun" w:hAnsi="SimSun" w:eastAsia="宋体"/>
                <w:b/>
                <w:sz w:val="20"/>
              </w:rPr>
              <w:t>章节</w:t>
            </w:r>
          </w:p>
        </w:tc>
        <w:tc>
          <w:tcPr>
            <w:tcW w:type="dxa" w:w="3685"/>
            <w:vAlign w:val="center"/>
            <w:tcMar>
              <w:top w:w="80" w:type="dxa"/>
              <w:start w:w="120" w:type="dxa"/>
              <w:bottom w:w="80" w:type="dxa"/>
              <w:end w:w="120" w:type="dxa"/>
            </w:tcMar>
            <w:shd w:fill="F2F4F7"/>
          </w:tcPr>
          <w:p>
            <w:pPr>
              <w:spacing w:after="40"/>
            </w:pPr>
            <w:r>
              <w:rPr>
                <w:rFonts w:ascii="SimSun" w:hAnsi="SimSun" w:eastAsia="宋体"/>
                <w:b/>
                <w:sz w:val="20"/>
              </w:rPr>
              <w:t>章节名称</w:t>
            </w:r>
          </w:p>
        </w:tc>
        <w:tc>
          <w:tcPr>
            <w:tcW w:type="dxa" w:w="3969"/>
            <w:vAlign w:val="center"/>
            <w:tcMar>
              <w:top w:w="80" w:type="dxa"/>
              <w:start w:w="120" w:type="dxa"/>
              <w:bottom w:w="80" w:type="dxa"/>
              <w:end w:w="120" w:type="dxa"/>
            </w:tcMar>
            <w:shd w:fill="F2F4F7"/>
          </w:tcPr>
          <w:p>
            <w:pPr>
              <w:spacing w:after="40"/>
            </w:pPr>
            <w:r>
              <w:rPr>
                <w:rFonts w:ascii="SimSun" w:hAnsi="SimSun" w:eastAsia="宋体"/>
                <w:b/>
                <w:sz w:val="20"/>
              </w:rPr>
              <w:t>对应工作</w:t>
            </w:r>
          </w:p>
        </w:tc>
      </w:tr>
      <w:tr>
        <w:tc>
          <w:tcPr>
            <w:tcW w:type="dxa" w:w="1134"/>
            <w:vAlign w:val="center"/>
            <w:tcMar>
              <w:top w:w="80" w:type="dxa"/>
              <w:start w:w="120" w:type="dxa"/>
              <w:bottom w:w="80" w:type="dxa"/>
              <w:end w:w="120" w:type="dxa"/>
            </w:tcMar>
          </w:tcPr>
          <w:p>
            <w:pPr>
              <w:spacing w:after="40"/>
            </w:pPr>
            <w:r>
              <w:rPr>
                <w:rFonts w:ascii="SimSun" w:hAnsi="SimSun" w:eastAsia="宋体"/>
                <w:sz w:val="20"/>
              </w:rPr>
              <w:t>第 1 章</w:t>
            </w:r>
          </w:p>
        </w:tc>
        <w:tc>
          <w:tcPr>
            <w:tcW w:type="dxa" w:w="3685"/>
            <w:vAlign w:val="center"/>
            <w:tcMar>
              <w:top w:w="80" w:type="dxa"/>
              <w:start w:w="120" w:type="dxa"/>
              <w:bottom w:w="80" w:type="dxa"/>
              <w:end w:w="120" w:type="dxa"/>
            </w:tcMar>
          </w:tcPr>
          <w:p>
            <w:pPr>
              <w:spacing w:after="40"/>
            </w:pPr>
            <w:r>
              <w:rPr>
                <w:rFonts w:ascii="SimSun" w:hAnsi="SimSun" w:eastAsia="宋体"/>
                <w:sz w:val="20"/>
              </w:rPr>
              <w:t>绪论</w:t>
            </w:r>
          </w:p>
        </w:tc>
        <w:tc>
          <w:tcPr>
            <w:tcW w:type="dxa" w:w="3969"/>
            <w:vAlign w:val="center"/>
            <w:tcMar>
              <w:top w:w="80" w:type="dxa"/>
              <w:start w:w="120" w:type="dxa"/>
              <w:bottom w:w="80" w:type="dxa"/>
              <w:end w:w="120" w:type="dxa"/>
            </w:tcMar>
          </w:tcPr>
          <w:p>
            <w:pPr>
              <w:spacing w:after="40"/>
            </w:pPr>
            <w:r>
              <w:rPr>
                <w:rFonts w:ascii="SimSun" w:hAnsi="SimSun" w:eastAsia="宋体"/>
                <w:sz w:val="20"/>
              </w:rPr>
              <w:t>讲研究背景、已有工作和改进思路</w:t>
            </w:r>
          </w:p>
        </w:tc>
      </w:tr>
      <w:tr>
        <w:tc>
          <w:tcPr>
            <w:tcW w:type="dxa" w:w="1134"/>
            <w:vAlign w:val="center"/>
            <w:tcMar>
              <w:top w:w="80" w:type="dxa"/>
              <w:start w:w="120" w:type="dxa"/>
              <w:bottom w:w="80" w:type="dxa"/>
              <w:end w:w="120" w:type="dxa"/>
            </w:tcMar>
          </w:tcPr>
          <w:p>
            <w:pPr>
              <w:spacing w:after="40"/>
            </w:pPr>
            <w:r>
              <w:rPr>
                <w:rFonts w:ascii="SimSun" w:hAnsi="SimSun" w:eastAsia="宋体"/>
                <w:sz w:val="20"/>
              </w:rPr>
              <w:t>第 2 章</w:t>
            </w:r>
          </w:p>
        </w:tc>
        <w:tc>
          <w:tcPr>
            <w:tcW w:type="dxa" w:w="3685"/>
            <w:vAlign w:val="center"/>
            <w:tcMar>
              <w:top w:w="80" w:type="dxa"/>
              <w:start w:w="120" w:type="dxa"/>
              <w:bottom w:w="80" w:type="dxa"/>
              <w:end w:w="120" w:type="dxa"/>
            </w:tcMar>
          </w:tcPr>
          <w:p>
            <w:pPr>
              <w:spacing w:after="40"/>
            </w:pPr>
            <w:r>
              <w:rPr>
                <w:rFonts w:ascii="SimSun" w:hAnsi="SimSun" w:eastAsia="宋体"/>
                <w:sz w:val="20"/>
              </w:rPr>
              <w:t>水泵故障机理与振动信号特征分析</w:t>
            </w:r>
          </w:p>
        </w:tc>
        <w:tc>
          <w:tcPr>
            <w:tcW w:type="dxa" w:w="3969"/>
            <w:vAlign w:val="center"/>
            <w:tcMar>
              <w:top w:w="80" w:type="dxa"/>
              <w:start w:w="120" w:type="dxa"/>
              <w:bottom w:w="80" w:type="dxa"/>
              <w:end w:w="120" w:type="dxa"/>
            </w:tcMar>
          </w:tcPr>
          <w:p>
            <w:pPr>
              <w:spacing w:after="40"/>
            </w:pPr>
            <w:r>
              <w:rPr>
                <w:rFonts w:ascii="SimSun" w:hAnsi="SimSun" w:eastAsia="宋体"/>
                <w:sz w:val="20"/>
              </w:rPr>
              <w:t>讲典型故障机理、振动表现和多维特征提取</w:t>
            </w:r>
          </w:p>
        </w:tc>
      </w:tr>
      <w:tr>
        <w:tc>
          <w:tcPr>
            <w:tcW w:type="dxa" w:w="1134"/>
            <w:vAlign w:val="center"/>
            <w:tcMar>
              <w:top w:w="80" w:type="dxa"/>
              <w:start w:w="120" w:type="dxa"/>
              <w:bottom w:w="80" w:type="dxa"/>
              <w:end w:w="120" w:type="dxa"/>
            </w:tcMar>
          </w:tcPr>
          <w:p>
            <w:pPr>
              <w:spacing w:after="40"/>
            </w:pPr>
            <w:r>
              <w:rPr>
                <w:rFonts w:ascii="SimSun" w:hAnsi="SimSun" w:eastAsia="宋体"/>
                <w:sz w:val="20"/>
              </w:rPr>
              <w:t>第 3 章</w:t>
            </w:r>
          </w:p>
        </w:tc>
        <w:tc>
          <w:tcPr>
            <w:tcW w:type="dxa" w:w="3685"/>
            <w:vAlign w:val="center"/>
            <w:tcMar>
              <w:top w:w="80" w:type="dxa"/>
              <w:start w:w="120" w:type="dxa"/>
              <w:bottom w:w="80" w:type="dxa"/>
              <w:end w:w="120" w:type="dxa"/>
            </w:tcMar>
          </w:tcPr>
          <w:p>
            <w:pPr>
              <w:spacing w:after="40"/>
            </w:pPr>
            <w:r>
              <w:rPr>
                <w:rFonts w:ascii="SimSun" w:hAnsi="SimSun" w:eastAsia="宋体"/>
                <w:sz w:val="20"/>
              </w:rPr>
              <w:t>基于机器学习的水泵故障诊断方法</w:t>
            </w:r>
          </w:p>
        </w:tc>
        <w:tc>
          <w:tcPr>
            <w:tcW w:type="dxa" w:w="3969"/>
            <w:vAlign w:val="center"/>
            <w:tcMar>
              <w:top w:w="80" w:type="dxa"/>
              <w:start w:w="120" w:type="dxa"/>
              <w:bottom w:w="80" w:type="dxa"/>
              <w:end w:w="120" w:type="dxa"/>
            </w:tcMar>
          </w:tcPr>
          <w:p>
            <w:pPr>
              <w:spacing w:after="40"/>
            </w:pPr>
            <w:r>
              <w:rPr>
                <w:rFonts w:ascii="SimSun" w:hAnsi="SimSun" w:eastAsia="宋体"/>
                <w:sz w:val="20"/>
              </w:rPr>
              <w:t>讲 BP、SVM、随机森林及评价指标</w:t>
            </w:r>
          </w:p>
        </w:tc>
      </w:tr>
      <w:tr>
        <w:tc>
          <w:tcPr>
            <w:tcW w:type="dxa" w:w="1134"/>
            <w:vAlign w:val="center"/>
            <w:tcMar>
              <w:top w:w="80" w:type="dxa"/>
              <w:start w:w="120" w:type="dxa"/>
              <w:bottom w:w="80" w:type="dxa"/>
              <w:end w:w="120" w:type="dxa"/>
            </w:tcMar>
          </w:tcPr>
          <w:p>
            <w:pPr>
              <w:spacing w:after="40"/>
            </w:pPr>
            <w:r>
              <w:rPr>
                <w:rFonts w:ascii="SimSun" w:hAnsi="SimSun" w:eastAsia="宋体"/>
                <w:sz w:val="20"/>
              </w:rPr>
              <w:t>第 4 章</w:t>
            </w:r>
          </w:p>
        </w:tc>
        <w:tc>
          <w:tcPr>
            <w:tcW w:type="dxa" w:w="3685"/>
            <w:vAlign w:val="center"/>
            <w:tcMar>
              <w:top w:w="80" w:type="dxa"/>
              <w:start w:w="120" w:type="dxa"/>
              <w:bottom w:w="80" w:type="dxa"/>
              <w:end w:w="120" w:type="dxa"/>
            </w:tcMar>
          </w:tcPr>
          <w:p>
            <w:pPr>
              <w:spacing w:after="40"/>
            </w:pPr>
            <w:r>
              <w:rPr>
                <w:rFonts w:ascii="SimSun" w:hAnsi="SimSun" w:eastAsia="宋体"/>
                <w:sz w:val="20"/>
              </w:rPr>
              <w:t>数据集构建与实验结果分析</w:t>
            </w:r>
          </w:p>
        </w:tc>
        <w:tc>
          <w:tcPr>
            <w:tcW w:type="dxa" w:w="3969"/>
            <w:vAlign w:val="center"/>
            <w:tcMar>
              <w:top w:w="80" w:type="dxa"/>
              <w:start w:w="120" w:type="dxa"/>
              <w:bottom w:w="80" w:type="dxa"/>
              <w:end w:w="120" w:type="dxa"/>
            </w:tcMar>
          </w:tcPr>
          <w:p>
            <w:pPr>
              <w:spacing w:after="40"/>
            </w:pPr>
            <w:r>
              <w:rPr>
                <w:rFonts w:ascii="SimSun" w:hAnsi="SimSun" w:eastAsia="宋体"/>
                <w:sz w:val="20"/>
              </w:rPr>
              <w:t>放公开数据预实验和自采数据实验</w:t>
            </w:r>
          </w:p>
        </w:tc>
      </w:tr>
      <w:tr>
        <w:tc>
          <w:tcPr>
            <w:tcW w:type="dxa" w:w="1134"/>
            <w:vAlign w:val="center"/>
            <w:tcMar>
              <w:top w:w="80" w:type="dxa"/>
              <w:start w:w="120" w:type="dxa"/>
              <w:bottom w:w="80" w:type="dxa"/>
              <w:end w:w="120" w:type="dxa"/>
            </w:tcMar>
          </w:tcPr>
          <w:p>
            <w:pPr>
              <w:spacing w:after="40"/>
            </w:pPr>
            <w:r>
              <w:rPr>
                <w:rFonts w:ascii="SimSun" w:hAnsi="SimSun" w:eastAsia="宋体"/>
                <w:sz w:val="20"/>
              </w:rPr>
              <w:t>第 5 章</w:t>
            </w:r>
          </w:p>
        </w:tc>
        <w:tc>
          <w:tcPr>
            <w:tcW w:type="dxa" w:w="3685"/>
            <w:vAlign w:val="center"/>
            <w:tcMar>
              <w:top w:w="80" w:type="dxa"/>
              <w:start w:w="120" w:type="dxa"/>
              <w:bottom w:w="80" w:type="dxa"/>
              <w:end w:w="120" w:type="dxa"/>
            </w:tcMar>
          </w:tcPr>
          <w:p>
            <w:pPr>
              <w:spacing w:after="40"/>
            </w:pPr>
            <w:r>
              <w:rPr>
                <w:rFonts w:ascii="SimSun" w:hAnsi="SimSun" w:eastAsia="宋体"/>
                <w:sz w:val="20"/>
              </w:rPr>
              <w:t>水泵故障诊断系统设计与实现</w:t>
            </w:r>
          </w:p>
        </w:tc>
        <w:tc>
          <w:tcPr>
            <w:tcW w:type="dxa" w:w="3969"/>
            <w:vAlign w:val="center"/>
            <w:tcMar>
              <w:top w:w="80" w:type="dxa"/>
              <w:start w:w="120" w:type="dxa"/>
              <w:bottom w:w="80" w:type="dxa"/>
              <w:end w:w="120" w:type="dxa"/>
            </w:tcMar>
          </w:tcPr>
          <w:p>
            <w:pPr>
              <w:spacing w:after="40"/>
            </w:pPr>
            <w:r>
              <w:rPr>
                <w:rFonts w:ascii="SimSun" w:hAnsi="SimSun" w:eastAsia="宋体"/>
                <w:sz w:val="20"/>
              </w:rPr>
              <w:t>体现上位机系统或便携式诊断仪的工程实现</w:t>
            </w:r>
          </w:p>
        </w:tc>
      </w:tr>
      <w:tr>
        <w:tc>
          <w:tcPr>
            <w:tcW w:type="dxa" w:w="1134"/>
            <w:vAlign w:val="center"/>
            <w:tcMar>
              <w:top w:w="80" w:type="dxa"/>
              <w:start w:w="120" w:type="dxa"/>
              <w:bottom w:w="80" w:type="dxa"/>
              <w:end w:w="120" w:type="dxa"/>
            </w:tcMar>
          </w:tcPr>
          <w:p>
            <w:pPr>
              <w:spacing w:after="40"/>
            </w:pPr>
            <w:r>
              <w:rPr>
                <w:rFonts w:ascii="SimSun" w:hAnsi="SimSun" w:eastAsia="宋体"/>
                <w:sz w:val="20"/>
              </w:rPr>
              <w:t>第 6 章</w:t>
            </w:r>
          </w:p>
        </w:tc>
        <w:tc>
          <w:tcPr>
            <w:tcW w:type="dxa" w:w="3685"/>
            <w:vAlign w:val="center"/>
            <w:tcMar>
              <w:top w:w="80" w:type="dxa"/>
              <w:start w:w="120" w:type="dxa"/>
              <w:bottom w:w="80" w:type="dxa"/>
              <w:end w:w="120" w:type="dxa"/>
            </w:tcMar>
          </w:tcPr>
          <w:p>
            <w:pPr>
              <w:spacing w:after="40"/>
            </w:pPr>
            <w:r>
              <w:rPr>
                <w:rFonts w:ascii="SimSun" w:hAnsi="SimSun" w:eastAsia="宋体"/>
                <w:sz w:val="20"/>
              </w:rPr>
              <w:t>总结与展望</w:t>
            </w:r>
          </w:p>
        </w:tc>
        <w:tc>
          <w:tcPr>
            <w:tcW w:type="dxa" w:w="3969"/>
            <w:vAlign w:val="center"/>
            <w:tcMar>
              <w:top w:w="80" w:type="dxa"/>
              <w:start w:w="120" w:type="dxa"/>
              <w:bottom w:w="80" w:type="dxa"/>
              <w:end w:w="120" w:type="dxa"/>
            </w:tcMar>
          </w:tcPr>
          <w:p>
            <w:pPr>
              <w:spacing w:after="40"/>
            </w:pPr>
            <w:r>
              <w:rPr>
                <w:rFonts w:ascii="SimSun" w:hAnsi="SimSun" w:eastAsia="宋体"/>
                <w:sz w:val="20"/>
              </w:rPr>
              <w:t>总结主要工作、结论、不足和后续方向</w:t>
            </w:r>
          </w:p>
        </w:tc>
      </w:tr>
    </w:tbl>
    <w:p/>
    <w:p>
      <w:pPr>
        <w:pStyle w:val="Heading1"/>
      </w:pPr>
      <w:r>
        <w:t>第 1 章 绪论</w:t>
      </w:r>
    </w:p>
    <w:p>
      <w:pPr>
        <w:spacing w:line="276" w:lineRule="auto" w:after="80"/>
      </w:pPr>
      <w:r>
        <w:rPr>
          <w:rFonts w:ascii="Times New Roman" w:hAnsi="Times New Roman" w:eastAsia="宋体"/>
        </w:rPr>
        <w:t>本章只解决三个问题：为什么开展水泵故障诊断研究，国内外相关研究已经做到什么程度，以及本文准备在已有工作的基础上做哪些改进。写作时不宜铺得过散，应把研究背景、前人方法不足和本文技术路线连接起来。</w:t>
      </w:r>
    </w:p>
    <w:p>
      <w:pPr>
        <w:pStyle w:val="Heading2"/>
      </w:pPr>
      <w:r>
        <w:t>1.1 研究背景与意义</w:t>
      </w:r>
    </w:p>
    <w:p>
      <w:pPr>
        <w:spacing w:line="276" w:lineRule="auto" w:after="80"/>
      </w:pPr>
      <w:r>
        <w:rPr>
          <w:rFonts w:ascii="Times New Roman" w:hAnsi="Times New Roman" w:eastAsia="宋体"/>
        </w:rPr>
        <w:t>可从水泵在工业生产、供排水、能源设备中的应用写起，说明长期运行中不平衡、不对中、松动、轴承故障、汽蚀和堵塞等问题会影响设备安全与运行效率。振动信号能够反映机械结构和流体状态变化，因此适合用于水泵状态监测与故障诊断。</w:t>
      </w:r>
    </w:p>
    <w:p>
      <w:pPr>
        <w:pStyle w:val="Heading2"/>
      </w:pPr>
      <w:r>
        <w:t>1.2 国内外研究现状</w:t>
      </w:r>
    </w:p>
    <w:p>
      <w:pPr>
        <w:spacing w:line="276" w:lineRule="auto" w:after="80"/>
      </w:pPr>
      <w:r>
        <w:rPr>
          <w:rFonts w:ascii="Times New Roman" w:hAnsi="Times New Roman" w:eastAsia="宋体"/>
        </w:rPr>
        <w:t>建议按三条线索综述：第一，传统振动信号分析方法，包括时域、频域、小波包和包络解调；第二，机器学习诊断方法，包括 BP 神经网络、SVM、随机森林等；第三，工程系统实现，包括 MATLAB 软件、上位机诊断系统、嵌入式或便携式状态监测装置。</w:t>
      </w:r>
    </w:p>
    <w:p>
      <w:pPr>
        <w:pStyle w:val="Heading2"/>
      </w:pPr>
      <w:r>
        <w:t>1.3 现有研究不足</w:t>
      </w:r>
    </w:p>
    <w:p>
      <w:pPr>
        <w:spacing w:line="276" w:lineRule="auto" w:after="80"/>
      </w:pPr>
      <w:r>
        <w:rPr>
          <w:rFonts w:ascii="Times New Roman" w:hAnsi="Times New Roman" w:eastAsia="宋体"/>
        </w:rPr>
        <w:t>现有研究不足可概括为：单一特征对复杂故障表征能力有限；单一模型缺少对比验证；公开数据随机划分容易高估泛化能力；部分研究停留在算法验证层面，工程系统集成和现场应用验证不足。</w:t>
      </w:r>
    </w:p>
    <w:p>
      <w:pPr>
        <w:pStyle w:val="Heading2"/>
      </w:pPr>
      <w:r>
        <w:t>1.4 本文主要研究内容</w:t>
      </w:r>
    </w:p>
    <w:p>
      <w:pPr>
        <w:spacing w:line="276" w:lineRule="auto" w:after="80"/>
      </w:pPr>
      <w:r>
        <w:rPr>
          <w:rFonts w:ascii="Times New Roman" w:hAnsi="Times New Roman" w:eastAsia="宋体"/>
        </w:rPr>
        <w:t>本文在师兄研究基础上扩展研究内容：构建时域、频域、小波包能量和包络谱组成的多维振动特征集；对 BP 神经网络、SVM 和随机森林进行训练与对比；结合公开数据和自建水泵实验数据验证方法；设计诊断系统或诊断仪原型，实现信号分析、模型诊断和结果显示。</w:t>
      </w:r>
    </w:p>
    <w:p>
      <w:pPr>
        <w:pStyle w:val="Heading2"/>
      </w:pPr>
      <w:r>
        <w:t>1.5 技术路线与论文结构</w:t>
      </w:r>
    </w:p>
    <w:p>
      <w:pPr>
        <w:spacing w:line="276" w:lineRule="auto" w:after="80"/>
      </w:pPr>
      <w:r>
        <w:rPr>
          <w:rFonts w:ascii="Times New Roman" w:hAnsi="Times New Roman" w:eastAsia="宋体"/>
        </w:rPr>
        <w:t>推荐技术路线为：水泵工况设置 -&gt; 振动信号采集 -&gt; 信号预处理 -&gt; 时域/频域/小波包/包络谱特征提取 -&gt; 特征归一化与数据集构建 -&gt; BP/SVM/随机森林模型训练 -&gt; 故障分类与模型对比 -&gt; 诊断系统显示与报警。</w:t>
      </w:r>
    </w:p>
    <w:p>
      <w:pPr>
        <w:pStyle w:val="Heading1"/>
      </w:pPr>
      <w:r>
        <w:t>第 2 章 水泵故障机理与振动信号特征分析</w:t>
      </w:r>
    </w:p>
    <w:p>
      <w:pPr>
        <w:spacing w:line="276" w:lineRule="auto" w:after="80"/>
      </w:pPr>
      <w:r>
        <w:rPr>
          <w:rFonts w:ascii="Times New Roman" w:hAnsi="Times New Roman" w:eastAsia="宋体"/>
        </w:rPr>
        <w:t>本章把故障机理和特征提取合并，作为论文的理论与方法基础。原粘贴文本中关于轴承故障、汽蚀、堵塞、不同分析方法适用故障以及最终判断逻辑的内容，建议集中改写到本章。</w:t>
      </w:r>
    </w:p>
    <w:p>
      <w:pPr>
        <w:pStyle w:val="Heading2"/>
      </w:pPr>
      <w:r>
        <w:t>2.1 水泵典型故障类型</w:t>
      </w:r>
    </w:p>
    <w:p>
      <w:pPr>
        <w:spacing w:line="276" w:lineRule="auto" w:after="80"/>
      </w:pPr>
      <w:r>
        <w:rPr>
          <w:rFonts w:ascii="Times New Roman" w:hAnsi="Times New Roman" w:eastAsia="宋体"/>
        </w:rPr>
        <w:t>本节说明论文关注的故障类别，建议控制在 4 至 6 类，便于实验模拟和模型训练。可包括正常工况、转子不平衡、联轴器不对中、基础或螺栓松动、轴承故障、汽蚀或堵塞等。</w:t>
      </w:r>
    </w:p>
    <w:p>
      <w:pPr>
        <w:pStyle w:val="Heading2"/>
      </w:pPr>
      <w:r>
        <w:t>2.2 典型故障振动特性</w:t>
      </w:r>
    </w:p>
    <w:p>
      <w:pPr>
        <w:spacing w:line="276" w:lineRule="auto" w:after="80"/>
      </w:pPr>
      <w:r>
        <w:rPr>
          <w:rFonts w:ascii="Times New Roman" w:hAnsi="Times New Roman" w:eastAsia="宋体"/>
        </w:rPr>
        <w:t>不同故障在振动信号中具有不同表现。转子不平衡主要表现为 1X 转频成分增强；不对中主要表现为 2X 及倍频成分增强；机械松动表现为多倍频和冲击特征；轴承故障表现为周期性冲击，在包络谱中可提取 BPFO、BPFI、BSF、FTF 等特征频率；汽蚀由于气泡破裂产生随机冲击，主要表现为高频宽带能量增强和小波包高频能量增加；堵塞则主要表现为低频压力脉动、叶频及其倍频成分增强。</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247"/>
            <w:vAlign w:val="center"/>
            <w:tcMar>
              <w:top w:w="80" w:type="dxa"/>
              <w:start w:w="120" w:type="dxa"/>
              <w:bottom w:w="80" w:type="dxa"/>
              <w:end w:w="120" w:type="dxa"/>
            </w:tcMar>
            <w:shd w:fill="F2F4F7"/>
          </w:tcPr>
          <w:p>
            <w:pPr>
              <w:spacing w:after="40"/>
            </w:pPr>
            <w:r>
              <w:rPr>
                <w:rFonts w:ascii="SimSun" w:hAnsi="SimSun" w:eastAsia="宋体"/>
                <w:b/>
                <w:sz w:val="20"/>
              </w:rPr>
              <w:t>故障类型</w:t>
            </w:r>
          </w:p>
        </w:tc>
        <w:tc>
          <w:tcPr>
            <w:tcW w:type="dxa" w:w="3005"/>
            <w:vAlign w:val="center"/>
            <w:tcMar>
              <w:top w:w="80" w:type="dxa"/>
              <w:start w:w="120" w:type="dxa"/>
              <w:bottom w:w="80" w:type="dxa"/>
              <w:end w:w="120" w:type="dxa"/>
            </w:tcMar>
            <w:shd w:fill="F2F4F7"/>
          </w:tcPr>
          <w:p>
            <w:pPr>
              <w:spacing w:after="40"/>
            </w:pPr>
            <w:r>
              <w:rPr>
                <w:rFonts w:ascii="SimSun" w:hAnsi="SimSun" w:eastAsia="宋体"/>
                <w:b/>
                <w:sz w:val="20"/>
              </w:rPr>
              <w:t>主要机理</w:t>
            </w:r>
          </w:p>
        </w:tc>
        <w:tc>
          <w:tcPr>
            <w:tcW w:type="dxa" w:w="4535"/>
            <w:vAlign w:val="center"/>
            <w:tcMar>
              <w:top w:w="80" w:type="dxa"/>
              <w:start w:w="120" w:type="dxa"/>
              <w:bottom w:w="80" w:type="dxa"/>
              <w:end w:w="120" w:type="dxa"/>
            </w:tcMar>
            <w:shd w:fill="F2F4F7"/>
          </w:tcPr>
          <w:p>
            <w:pPr>
              <w:spacing w:after="40"/>
            </w:pPr>
            <w:r>
              <w:rPr>
                <w:rFonts w:ascii="SimSun" w:hAnsi="SimSun" w:eastAsia="宋体"/>
                <w:b/>
                <w:sz w:val="20"/>
              </w:rPr>
              <w:t>最明显振动特征</w:t>
            </w:r>
          </w:p>
        </w:tc>
      </w:tr>
      <w:tr>
        <w:tc>
          <w:tcPr>
            <w:tcW w:type="dxa" w:w="1247"/>
            <w:vAlign w:val="center"/>
            <w:tcMar>
              <w:top w:w="80" w:type="dxa"/>
              <w:start w:w="120" w:type="dxa"/>
              <w:bottom w:w="80" w:type="dxa"/>
              <w:end w:w="120" w:type="dxa"/>
            </w:tcMar>
          </w:tcPr>
          <w:p>
            <w:pPr>
              <w:spacing w:after="40"/>
            </w:pPr>
            <w:r>
              <w:rPr>
                <w:rFonts w:ascii="SimSun" w:hAnsi="SimSun" w:eastAsia="宋体"/>
                <w:sz w:val="20"/>
              </w:rPr>
              <w:t>正常</w:t>
            </w:r>
          </w:p>
        </w:tc>
        <w:tc>
          <w:tcPr>
            <w:tcW w:type="dxa" w:w="3005"/>
            <w:vAlign w:val="center"/>
            <w:tcMar>
              <w:top w:w="80" w:type="dxa"/>
              <w:start w:w="120" w:type="dxa"/>
              <w:bottom w:w="80" w:type="dxa"/>
              <w:end w:w="120" w:type="dxa"/>
            </w:tcMar>
          </w:tcPr>
          <w:p>
            <w:pPr>
              <w:spacing w:after="40"/>
            </w:pPr>
            <w:r>
              <w:rPr>
                <w:rFonts w:ascii="SimSun" w:hAnsi="SimSun" w:eastAsia="宋体"/>
                <w:sz w:val="20"/>
              </w:rPr>
              <w:t>转子、轴承、流体运行稳定</w:t>
            </w:r>
          </w:p>
        </w:tc>
        <w:tc>
          <w:tcPr>
            <w:tcW w:type="dxa" w:w="4535"/>
            <w:vAlign w:val="center"/>
            <w:tcMar>
              <w:top w:w="80" w:type="dxa"/>
              <w:start w:w="120" w:type="dxa"/>
              <w:bottom w:w="80" w:type="dxa"/>
              <w:end w:w="120" w:type="dxa"/>
            </w:tcMar>
          </w:tcPr>
          <w:p>
            <w:pPr>
              <w:spacing w:after="40"/>
            </w:pPr>
            <w:r>
              <w:rPr>
                <w:rFonts w:ascii="SimSun" w:hAnsi="SimSun" w:eastAsia="宋体"/>
                <w:sz w:val="20"/>
              </w:rPr>
              <w:t>时域较平稳，频谱以低频和转频为主</w:t>
            </w:r>
          </w:p>
        </w:tc>
      </w:tr>
      <w:tr>
        <w:tc>
          <w:tcPr>
            <w:tcW w:type="dxa" w:w="1247"/>
            <w:vAlign w:val="center"/>
            <w:tcMar>
              <w:top w:w="80" w:type="dxa"/>
              <w:start w:w="120" w:type="dxa"/>
              <w:bottom w:w="80" w:type="dxa"/>
              <w:end w:w="120" w:type="dxa"/>
            </w:tcMar>
          </w:tcPr>
          <w:p>
            <w:pPr>
              <w:spacing w:after="40"/>
            </w:pPr>
            <w:r>
              <w:rPr>
                <w:rFonts w:ascii="SimSun" w:hAnsi="SimSun" w:eastAsia="宋体"/>
                <w:sz w:val="20"/>
              </w:rPr>
              <w:t>不平衡</w:t>
            </w:r>
          </w:p>
        </w:tc>
        <w:tc>
          <w:tcPr>
            <w:tcW w:type="dxa" w:w="3005"/>
            <w:vAlign w:val="center"/>
            <w:tcMar>
              <w:top w:w="80" w:type="dxa"/>
              <w:start w:w="120" w:type="dxa"/>
              <w:bottom w:w="80" w:type="dxa"/>
              <w:end w:w="120" w:type="dxa"/>
            </w:tcMar>
          </w:tcPr>
          <w:p>
            <w:pPr>
              <w:spacing w:after="40"/>
            </w:pPr>
            <w:r>
              <w:rPr>
                <w:rFonts w:ascii="SimSun" w:hAnsi="SimSun" w:eastAsia="宋体"/>
                <w:sz w:val="20"/>
              </w:rPr>
              <w:t>质量中心与旋转中心不重合</w:t>
            </w:r>
          </w:p>
        </w:tc>
        <w:tc>
          <w:tcPr>
            <w:tcW w:type="dxa" w:w="4535"/>
            <w:vAlign w:val="center"/>
            <w:tcMar>
              <w:top w:w="80" w:type="dxa"/>
              <w:start w:w="120" w:type="dxa"/>
              <w:bottom w:w="80" w:type="dxa"/>
              <w:end w:w="120" w:type="dxa"/>
            </w:tcMar>
          </w:tcPr>
          <w:p>
            <w:pPr>
              <w:spacing w:after="40"/>
            </w:pPr>
            <w:r>
              <w:rPr>
                <w:rFonts w:ascii="SimSun" w:hAnsi="SimSun" w:eastAsia="宋体"/>
                <w:sz w:val="20"/>
              </w:rPr>
              <w:t>1X 转频明显增强</w:t>
            </w:r>
          </w:p>
        </w:tc>
      </w:tr>
      <w:tr>
        <w:tc>
          <w:tcPr>
            <w:tcW w:type="dxa" w:w="1247"/>
            <w:vAlign w:val="center"/>
            <w:tcMar>
              <w:top w:w="80" w:type="dxa"/>
              <w:start w:w="120" w:type="dxa"/>
              <w:bottom w:w="80" w:type="dxa"/>
              <w:end w:w="120" w:type="dxa"/>
            </w:tcMar>
          </w:tcPr>
          <w:p>
            <w:pPr>
              <w:spacing w:after="40"/>
            </w:pPr>
            <w:r>
              <w:rPr>
                <w:rFonts w:ascii="SimSun" w:hAnsi="SimSun" w:eastAsia="宋体"/>
                <w:sz w:val="20"/>
              </w:rPr>
              <w:t>不对中</w:t>
            </w:r>
          </w:p>
        </w:tc>
        <w:tc>
          <w:tcPr>
            <w:tcW w:type="dxa" w:w="3005"/>
            <w:vAlign w:val="center"/>
            <w:tcMar>
              <w:top w:w="80" w:type="dxa"/>
              <w:start w:w="120" w:type="dxa"/>
              <w:bottom w:w="80" w:type="dxa"/>
              <w:end w:w="120" w:type="dxa"/>
            </w:tcMar>
          </w:tcPr>
          <w:p>
            <w:pPr>
              <w:spacing w:after="40"/>
            </w:pPr>
            <w:r>
              <w:rPr>
                <w:rFonts w:ascii="SimSun" w:hAnsi="SimSun" w:eastAsia="宋体"/>
                <w:sz w:val="20"/>
              </w:rPr>
              <w:t>电机轴与泵轴中心线存在偏差</w:t>
            </w:r>
          </w:p>
        </w:tc>
        <w:tc>
          <w:tcPr>
            <w:tcW w:type="dxa" w:w="4535"/>
            <w:vAlign w:val="center"/>
            <w:tcMar>
              <w:top w:w="80" w:type="dxa"/>
              <w:start w:w="120" w:type="dxa"/>
              <w:bottom w:w="80" w:type="dxa"/>
              <w:end w:w="120" w:type="dxa"/>
            </w:tcMar>
          </w:tcPr>
          <w:p>
            <w:pPr>
              <w:spacing w:after="40"/>
            </w:pPr>
            <w:r>
              <w:rPr>
                <w:rFonts w:ascii="SimSun" w:hAnsi="SimSun" w:eastAsia="宋体"/>
                <w:sz w:val="20"/>
              </w:rPr>
              <w:t>2X 转频及倍频较明显，轴向振动可能增大</w:t>
            </w:r>
          </w:p>
        </w:tc>
      </w:tr>
      <w:tr>
        <w:tc>
          <w:tcPr>
            <w:tcW w:type="dxa" w:w="1247"/>
            <w:vAlign w:val="center"/>
            <w:tcMar>
              <w:top w:w="80" w:type="dxa"/>
              <w:start w:w="120" w:type="dxa"/>
              <w:bottom w:w="80" w:type="dxa"/>
              <w:end w:w="120" w:type="dxa"/>
            </w:tcMar>
          </w:tcPr>
          <w:p>
            <w:pPr>
              <w:spacing w:after="40"/>
            </w:pPr>
            <w:r>
              <w:rPr>
                <w:rFonts w:ascii="SimSun" w:hAnsi="SimSun" w:eastAsia="宋体"/>
                <w:sz w:val="20"/>
              </w:rPr>
              <w:t>松动</w:t>
            </w:r>
          </w:p>
        </w:tc>
        <w:tc>
          <w:tcPr>
            <w:tcW w:type="dxa" w:w="3005"/>
            <w:vAlign w:val="center"/>
            <w:tcMar>
              <w:top w:w="80" w:type="dxa"/>
              <w:start w:w="120" w:type="dxa"/>
              <w:bottom w:w="80" w:type="dxa"/>
              <w:end w:w="120" w:type="dxa"/>
            </w:tcMar>
          </w:tcPr>
          <w:p>
            <w:pPr>
              <w:spacing w:after="40"/>
            </w:pPr>
            <w:r>
              <w:rPr>
                <w:rFonts w:ascii="SimSun" w:hAnsi="SimSun" w:eastAsia="宋体"/>
                <w:sz w:val="20"/>
              </w:rPr>
              <w:t>基础、轴承座或连接件松动</w:t>
            </w:r>
          </w:p>
        </w:tc>
        <w:tc>
          <w:tcPr>
            <w:tcW w:type="dxa" w:w="4535"/>
            <w:vAlign w:val="center"/>
            <w:tcMar>
              <w:top w:w="80" w:type="dxa"/>
              <w:start w:w="120" w:type="dxa"/>
              <w:bottom w:w="80" w:type="dxa"/>
              <w:end w:w="120" w:type="dxa"/>
            </w:tcMar>
          </w:tcPr>
          <w:p>
            <w:pPr>
              <w:spacing w:after="40"/>
            </w:pPr>
            <w:r>
              <w:rPr>
                <w:rFonts w:ascii="SimSun" w:hAnsi="SimSun" w:eastAsia="宋体"/>
                <w:sz w:val="20"/>
              </w:rPr>
              <w:t>多倍频、冲击、波形畸变</w:t>
            </w:r>
          </w:p>
        </w:tc>
      </w:tr>
      <w:tr>
        <w:tc>
          <w:tcPr>
            <w:tcW w:type="dxa" w:w="1247"/>
            <w:vAlign w:val="center"/>
            <w:tcMar>
              <w:top w:w="80" w:type="dxa"/>
              <w:start w:w="120" w:type="dxa"/>
              <w:bottom w:w="80" w:type="dxa"/>
              <w:end w:w="120" w:type="dxa"/>
            </w:tcMar>
          </w:tcPr>
          <w:p>
            <w:pPr>
              <w:spacing w:after="40"/>
            </w:pPr>
            <w:r>
              <w:rPr>
                <w:rFonts w:ascii="SimSun" w:hAnsi="SimSun" w:eastAsia="宋体"/>
                <w:sz w:val="20"/>
              </w:rPr>
              <w:t>轴承故障</w:t>
            </w:r>
          </w:p>
        </w:tc>
        <w:tc>
          <w:tcPr>
            <w:tcW w:type="dxa" w:w="3005"/>
            <w:vAlign w:val="center"/>
            <w:tcMar>
              <w:top w:w="80" w:type="dxa"/>
              <w:start w:w="120" w:type="dxa"/>
              <w:bottom w:w="80" w:type="dxa"/>
              <w:end w:w="120" w:type="dxa"/>
            </w:tcMar>
          </w:tcPr>
          <w:p>
            <w:pPr>
              <w:spacing w:after="40"/>
            </w:pPr>
            <w:r>
              <w:rPr>
                <w:rFonts w:ascii="SimSun" w:hAnsi="SimSun" w:eastAsia="宋体"/>
                <w:sz w:val="20"/>
              </w:rPr>
              <w:t>滚道或滚动体局部损伤</w:t>
            </w:r>
          </w:p>
        </w:tc>
        <w:tc>
          <w:tcPr>
            <w:tcW w:type="dxa" w:w="4535"/>
            <w:vAlign w:val="center"/>
            <w:tcMar>
              <w:top w:w="80" w:type="dxa"/>
              <w:start w:w="120" w:type="dxa"/>
              <w:bottom w:w="80" w:type="dxa"/>
              <w:end w:w="120" w:type="dxa"/>
            </w:tcMar>
          </w:tcPr>
          <w:p>
            <w:pPr>
              <w:spacing w:after="40"/>
            </w:pPr>
            <w:r>
              <w:rPr>
                <w:rFonts w:ascii="SimSun" w:hAnsi="SimSun" w:eastAsia="宋体"/>
                <w:sz w:val="20"/>
              </w:rPr>
              <w:t>高频冲击、峭度升高、包络谱特征频率明显</w:t>
            </w:r>
          </w:p>
        </w:tc>
      </w:tr>
      <w:tr>
        <w:tc>
          <w:tcPr>
            <w:tcW w:type="dxa" w:w="1247"/>
            <w:vAlign w:val="center"/>
            <w:tcMar>
              <w:top w:w="80" w:type="dxa"/>
              <w:start w:w="120" w:type="dxa"/>
              <w:bottom w:w="80" w:type="dxa"/>
              <w:end w:w="120" w:type="dxa"/>
            </w:tcMar>
          </w:tcPr>
          <w:p>
            <w:pPr>
              <w:spacing w:after="40"/>
            </w:pPr>
            <w:r>
              <w:rPr>
                <w:rFonts w:ascii="SimSun" w:hAnsi="SimSun" w:eastAsia="宋体"/>
                <w:sz w:val="20"/>
              </w:rPr>
              <w:t>汽蚀</w:t>
            </w:r>
          </w:p>
        </w:tc>
        <w:tc>
          <w:tcPr>
            <w:tcW w:type="dxa" w:w="3005"/>
            <w:vAlign w:val="center"/>
            <w:tcMar>
              <w:top w:w="80" w:type="dxa"/>
              <w:start w:w="120" w:type="dxa"/>
              <w:bottom w:w="80" w:type="dxa"/>
              <w:end w:w="120" w:type="dxa"/>
            </w:tcMar>
          </w:tcPr>
          <w:p>
            <w:pPr>
              <w:spacing w:after="40"/>
            </w:pPr>
            <w:r>
              <w:rPr>
                <w:rFonts w:ascii="SimSun" w:hAnsi="SimSun" w:eastAsia="宋体"/>
                <w:sz w:val="20"/>
              </w:rPr>
              <w:t>入口压力不足导致气泡产生与破裂</w:t>
            </w:r>
          </w:p>
        </w:tc>
        <w:tc>
          <w:tcPr>
            <w:tcW w:type="dxa" w:w="4535"/>
            <w:vAlign w:val="center"/>
            <w:tcMar>
              <w:top w:w="80" w:type="dxa"/>
              <w:start w:w="120" w:type="dxa"/>
              <w:bottom w:w="80" w:type="dxa"/>
              <w:end w:w="120" w:type="dxa"/>
            </w:tcMar>
          </w:tcPr>
          <w:p>
            <w:pPr>
              <w:spacing w:after="40"/>
            </w:pPr>
            <w:r>
              <w:rPr>
                <w:rFonts w:ascii="SimSun" w:hAnsi="SimSun" w:eastAsia="宋体"/>
                <w:sz w:val="20"/>
              </w:rPr>
              <w:t>高频宽带能量增强，小波包高频能量升高</w:t>
            </w:r>
          </w:p>
        </w:tc>
      </w:tr>
      <w:tr>
        <w:tc>
          <w:tcPr>
            <w:tcW w:type="dxa" w:w="1247"/>
            <w:vAlign w:val="center"/>
            <w:tcMar>
              <w:top w:w="80" w:type="dxa"/>
              <w:start w:w="120" w:type="dxa"/>
              <w:bottom w:w="80" w:type="dxa"/>
              <w:end w:w="120" w:type="dxa"/>
            </w:tcMar>
          </w:tcPr>
          <w:p>
            <w:pPr>
              <w:spacing w:after="40"/>
            </w:pPr>
            <w:r>
              <w:rPr>
                <w:rFonts w:ascii="SimSun" w:hAnsi="SimSun" w:eastAsia="宋体"/>
                <w:sz w:val="20"/>
              </w:rPr>
              <w:t>堵塞</w:t>
            </w:r>
          </w:p>
        </w:tc>
        <w:tc>
          <w:tcPr>
            <w:tcW w:type="dxa" w:w="3005"/>
            <w:vAlign w:val="center"/>
            <w:tcMar>
              <w:top w:w="80" w:type="dxa"/>
              <w:start w:w="120" w:type="dxa"/>
              <w:bottom w:w="80" w:type="dxa"/>
              <w:end w:w="120" w:type="dxa"/>
            </w:tcMar>
          </w:tcPr>
          <w:p>
            <w:pPr>
              <w:spacing w:after="40"/>
            </w:pPr>
            <w:r>
              <w:rPr>
                <w:rFonts w:ascii="SimSun" w:hAnsi="SimSun" w:eastAsia="宋体"/>
                <w:sz w:val="20"/>
              </w:rPr>
              <w:t>进口、叶轮、管路或滤网受阻</w:t>
            </w:r>
          </w:p>
        </w:tc>
        <w:tc>
          <w:tcPr>
            <w:tcW w:type="dxa" w:w="4535"/>
            <w:vAlign w:val="center"/>
            <w:tcMar>
              <w:top w:w="80" w:type="dxa"/>
              <w:start w:w="120" w:type="dxa"/>
              <w:bottom w:w="80" w:type="dxa"/>
              <w:end w:w="120" w:type="dxa"/>
            </w:tcMar>
          </w:tcPr>
          <w:p>
            <w:pPr>
              <w:spacing w:after="40"/>
            </w:pPr>
            <w:r>
              <w:rPr>
                <w:rFonts w:ascii="SimSun" w:hAnsi="SimSun" w:eastAsia="宋体"/>
                <w:sz w:val="20"/>
              </w:rPr>
              <w:t>叶频及其倍频增强，低中频能量变化</w:t>
            </w:r>
          </w:p>
        </w:tc>
      </w:tr>
    </w:tbl>
    <w:p/>
    <w:p>
      <w:pPr>
        <w:pStyle w:val="Heading2"/>
      </w:pPr>
      <w:r>
        <w:t>2.3 振动信号预处理</w:t>
      </w:r>
    </w:p>
    <w:p>
      <w:pPr>
        <w:spacing w:line="276" w:lineRule="auto" w:after="80"/>
      </w:pPr>
      <w:r>
        <w:rPr>
          <w:rFonts w:ascii="Times New Roman" w:hAnsi="Times New Roman" w:eastAsia="宋体"/>
        </w:rPr>
        <w:t>预处理包括去直流、滤波、分段、归一化和异常片段剔除。分段后每个样本应保持相同采样长度，便于后续特征计算和机器学习输入。归一化可降低不同量纲和幅值范围对模型训练的影响。</w:t>
      </w:r>
    </w:p>
    <w:p>
      <w:pPr>
        <w:pStyle w:val="Heading2"/>
      </w:pPr>
      <w:r>
        <w:t>2.4 多维振动特征提取</w:t>
      </w:r>
    </w:p>
    <w:p>
      <w:pPr>
        <w:spacing w:line="276" w:lineRule="auto" w:after="80"/>
      </w:pPr>
      <w:r>
        <w:rPr>
          <w:rFonts w:ascii="Times New Roman" w:hAnsi="Times New Roman" w:eastAsia="宋体"/>
        </w:rPr>
        <w:t>多维特征建议包括四类：时域特征、频域特征、小波包能量特征和包络谱特征。这样既保留师兄论文中的小波包能量思路，又补充了周期性故障、冲击故障和水力故障所需的信息。</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17"/>
            <w:vAlign w:val="center"/>
            <w:tcMar>
              <w:top w:w="80" w:type="dxa"/>
              <w:start w:w="120" w:type="dxa"/>
              <w:bottom w:w="80" w:type="dxa"/>
              <w:end w:w="120" w:type="dxa"/>
            </w:tcMar>
            <w:shd w:fill="F2F4F7"/>
          </w:tcPr>
          <w:p>
            <w:pPr>
              <w:spacing w:after="40"/>
            </w:pPr>
            <w:r>
              <w:rPr>
                <w:rFonts w:ascii="SimSun" w:hAnsi="SimSun" w:eastAsia="宋体"/>
                <w:b/>
                <w:sz w:val="20"/>
              </w:rPr>
              <w:t>特征类型</w:t>
            </w:r>
          </w:p>
        </w:tc>
        <w:tc>
          <w:tcPr>
            <w:tcW w:type="dxa" w:w="3402"/>
            <w:vAlign w:val="center"/>
            <w:tcMar>
              <w:top w:w="80" w:type="dxa"/>
              <w:start w:w="120" w:type="dxa"/>
              <w:bottom w:w="80" w:type="dxa"/>
              <w:end w:w="120" w:type="dxa"/>
            </w:tcMar>
            <w:shd w:fill="F2F4F7"/>
          </w:tcPr>
          <w:p>
            <w:pPr>
              <w:spacing w:after="40"/>
            </w:pPr>
            <w:r>
              <w:rPr>
                <w:rFonts w:ascii="SimSun" w:hAnsi="SimSun" w:eastAsia="宋体"/>
                <w:b/>
                <w:sz w:val="20"/>
              </w:rPr>
              <w:t>具体特征</w:t>
            </w:r>
          </w:p>
        </w:tc>
        <w:tc>
          <w:tcPr>
            <w:tcW w:type="dxa" w:w="3969"/>
            <w:vAlign w:val="center"/>
            <w:tcMar>
              <w:top w:w="80" w:type="dxa"/>
              <w:start w:w="120" w:type="dxa"/>
              <w:bottom w:w="80" w:type="dxa"/>
              <w:end w:w="120" w:type="dxa"/>
            </w:tcMar>
            <w:shd w:fill="F2F4F7"/>
          </w:tcPr>
          <w:p>
            <w:pPr>
              <w:spacing w:after="40"/>
            </w:pPr>
            <w:r>
              <w:rPr>
                <w:rFonts w:ascii="SimSun" w:hAnsi="SimSun" w:eastAsia="宋体"/>
                <w:b/>
                <w:sz w:val="20"/>
              </w:rPr>
              <w:t>主要作用</w:t>
            </w:r>
          </w:p>
        </w:tc>
      </w:tr>
      <w:tr>
        <w:tc>
          <w:tcPr>
            <w:tcW w:type="dxa" w:w="1417"/>
            <w:vAlign w:val="center"/>
            <w:tcMar>
              <w:top w:w="80" w:type="dxa"/>
              <w:start w:w="120" w:type="dxa"/>
              <w:bottom w:w="80" w:type="dxa"/>
              <w:end w:w="120" w:type="dxa"/>
            </w:tcMar>
          </w:tcPr>
          <w:p>
            <w:pPr>
              <w:spacing w:after="40"/>
            </w:pPr>
            <w:r>
              <w:rPr>
                <w:rFonts w:ascii="SimSun" w:hAnsi="SimSun" w:eastAsia="宋体"/>
                <w:sz w:val="20"/>
              </w:rPr>
              <w:t>时域</w:t>
            </w:r>
          </w:p>
        </w:tc>
        <w:tc>
          <w:tcPr>
            <w:tcW w:type="dxa" w:w="3402"/>
            <w:vAlign w:val="center"/>
            <w:tcMar>
              <w:top w:w="80" w:type="dxa"/>
              <w:start w:w="120" w:type="dxa"/>
              <w:bottom w:w="80" w:type="dxa"/>
              <w:end w:w="120" w:type="dxa"/>
            </w:tcMar>
          </w:tcPr>
          <w:p>
            <w:pPr>
              <w:spacing w:after="40"/>
            </w:pPr>
            <w:r>
              <w:rPr>
                <w:rFonts w:ascii="SimSun" w:hAnsi="SimSun" w:eastAsia="宋体"/>
                <w:sz w:val="20"/>
              </w:rPr>
              <w:t>均值、RMS、峰值、峭度、峰值因子、脉冲因子</w:t>
            </w:r>
          </w:p>
        </w:tc>
        <w:tc>
          <w:tcPr>
            <w:tcW w:type="dxa" w:w="3969"/>
            <w:vAlign w:val="center"/>
            <w:tcMar>
              <w:top w:w="80" w:type="dxa"/>
              <w:start w:w="120" w:type="dxa"/>
              <w:bottom w:w="80" w:type="dxa"/>
              <w:end w:w="120" w:type="dxa"/>
            </w:tcMar>
          </w:tcPr>
          <w:p>
            <w:pPr>
              <w:spacing w:after="40"/>
            </w:pPr>
            <w:r>
              <w:rPr>
                <w:rFonts w:ascii="SimSun" w:hAnsi="SimSun" w:eastAsia="宋体"/>
                <w:sz w:val="20"/>
              </w:rPr>
              <w:t>反映振动强度、冲击程度和信号稳定性</w:t>
            </w:r>
          </w:p>
        </w:tc>
      </w:tr>
      <w:tr>
        <w:tc>
          <w:tcPr>
            <w:tcW w:type="dxa" w:w="1417"/>
            <w:vAlign w:val="center"/>
            <w:tcMar>
              <w:top w:w="80" w:type="dxa"/>
              <w:start w:w="120" w:type="dxa"/>
              <w:bottom w:w="80" w:type="dxa"/>
              <w:end w:w="120" w:type="dxa"/>
            </w:tcMar>
          </w:tcPr>
          <w:p>
            <w:pPr>
              <w:spacing w:after="40"/>
            </w:pPr>
            <w:r>
              <w:rPr>
                <w:rFonts w:ascii="SimSun" w:hAnsi="SimSun" w:eastAsia="宋体"/>
                <w:sz w:val="20"/>
              </w:rPr>
              <w:t>频域</w:t>
            </w:r>
          </w:p>
        </w:tc>
        <w:tc>
          <w:tcPr>
            <w:tcW w:type="dxa" w:w="3402"/>
            <w:vAlign w:val="center"/>
            <w:tcMar>
              <w:top w:w="80" w:type="dxa"/>
              <w:start w:w="120" w:type="dxa"/>
              <w:bottom w:w="80" w:type="dxa"/>
              <w:end w:w="120" w:type="dxa"/>
            </w:tcMar>
          </w:tcPr>
          <w:p>
            <w:pPr>
              <w:spacing w:after="40"/>
            </w:pPr>
            <w:r>
              <w:rPr>
                <w:rFonts w:ascii="SimSun" w:hAnsi="SimSun" w:eastAsia="宋体"/>
                <w:sz w:val="20"/>
              </w:rPr>
              <w:t>1X、2X、叶频、高频带能量、频带能量比例</w:t>
            </w:r>
          </w:p>
        </w:tc>
        <w:tc>
          <w:tcPr>
            <w:tcW w:type="dxa" w:w="3969"/>
            <w:vAlign w:val="center"/>
            <w:tcMar>
              <w:top w:w="80" w:type="dxa"/>
              <w:start w:w="120" w:type="dxa"/>
              <w:bottom w:w="80" w:type="dxa"/>
              <w:end w:w="120" w:type="dxa"/>
            </w:tcMar>
          </w:tcPr>
          <w:p>
            <w:pPr>
              <w:spacing w:after="40"/>
            </w:pPr>
            <w:r>
              <w:rPr>
                <w:rFonts w:ascii="SimSun" w:hAnsi="SimSun" w:eastAsia="宋体"/>
                <w:sz w:val="20"/>
              </w:rPr>
              <w:t>识别不平衡、不对中、松动、堵塞和汽蚀</w:t>
            </w:r>
          </w:p>
        </w:tc>
      </w:tr>
      <w:tr>
        <w:tc>
          <w:tcPr>
            <w:tcW w:type="dxa" w:w="1417"/>
            <w:vAlign w:val="center"/>
            <w:tcMar>
              <w:top w:w="80" w:type="dxa"/>
              <w:start w:w="120" w:type="dxa"/>
              <w:bottom w:w="80" w:type="dxa"/>
              <w:end w:w="120" w:type="dxa"/>
            </w:tcMar>
          </w:tcPr>
          <w:p>
            <w:pPr>
              <w:spacing w:after="40"/>
            </w:pPr>
            <w:r>
              <w:rPr>
                <w:rFonts w:ascii="SimSun" w:hAnsi="SimSun" w:eastAsia="宋体"/>
                <w:sz w:val="20"/>
              </w:rPr>
              <w:t>小波包</w:t>
            </w:r>
          </w:p>
        </w:tc>
        <w:tc>
          <w:tcPr>
            <w:tcW w:type="dxa" w:w="3402"/>
            <w:vAlign w:val="center"/>
            <w:tcMar>
              <w:top w:w="80" w:type="dxa"/>
              <w:start w:w="120" w:type="dxa"/>
              <w:bottom w:w="80" w:type="dxa"/>
              <w:end w:w="120" w:type="dxa"/>
            </w:tcMar>
          </w:tcPr>
          <w:p>
            <w:pPr>
              <w:spacing w:after="40"/>
            </w:pPr>
            <w:r>
              <w:rPr>
                <w:rFonts w:ascii="SimSun" w:hAnsi="SimSun" w:eastAsia="宋体"/>
                <w:sz w:val="20"/>
              </w:rPr>
              <w:t>各频带能量、能量占比、能量熵</w:t>
            </w:r>
          </w:p>
        </w:tc>
        <w:tc>
          <w:tcPr>
            <w:tcW w:type="dxa" w:w="3969"/>
            <w:vAlign w:val="center"/>
            <w:tcMar>
              <w:top w:w="80" w:type="dxa"/>
              <w:start w:w="120" w:type="dxa"/>
              <w:bottom w:w="80" w:type="dxa"/>
              <w:end w:w="120" w:type="dxa"/>
            </w:tcMar>
          </w:tcPr>
          <w:p>
            <w:pPr>
              <w:spacing w:after="40"/>
            </w:pPr>
            <w:r>
              <w:rPr>
                <w:rFonts w:ascii="SimSun" w:hAnsi="SimSun" w:eastAsia="宋体"/>
                <w:sz w:val="20"/>
              </w:rPr>
              <w:t>描述非平稳信号能量分布，适合汽蚀、堵塞和轴承故障</w:t>
            </w:r>
          </w:p>
        </w:tc>
      </w:tr>
      <w:tr>
        <w:tc>
          <w:tcPr>
            <w:tcW w:type="dxa" w:w="1417"/>
            <w:vAlign w:val="center"/>
            <w:tcMar>
              <w:top w:w="80" w:type="dxa"/>
              <w:start w:w="120" w:type="dxa"/>
              <w:bottom w:w="80" w:type="dxa"/>
              <w:end w:w="120" w:type="dxa"/>
            </w:tcMar>
          </w:tcPr>
          <w:p>
            <w:pPr>
              <w:spacing w:after="40"/>
            </w:pPr>
            <w:r>
              <w:rPr>
                <w:rFonts w:ascii="SimSun" w:hAnsi="SimSun" w:eastAsia="宋体"/>
                <w:sz w:val="20"/>
              </w:rPr>
              <w:t>包络谱</w:t>
            </w:r>
          </w:p>
        </w:tc>
        <w:tc>
          <w:tcPr>
            <w:tcW w:type="dxa" w:w="3402"/>
            <w:vAlign w:val="center"/>
            <w:tcMar>
              <w:top w:w="80" w:type="dxa"/>
              <w:start w:w="120" w:type="dxa"/>
              <w:bottom w:w="80" w:type="dxa"/>
              <w:end w:w="120" w:type="dxa"/>
            </w:tcMar>
          </w:tcPr>
          <w:p>
            <w:pPr>
              <w:spacing w:after="40"/>
            </w:pPr>
            <w:r>
              <w:rPr>
                <w:rFonts w:ascii="SimSun" w:hAnsi="SimSun" w:eastAsia="宋体"/>
                <w:sz w:val="20"/>
              </w:rPr>
              <w:t>BPFO、BPFI、BSF、FTF 及调制边频</w:t>
            </w:r>
          </w:p>
        </w:tc>
        <w:tc>
          <w:tcPr>
            <w:tcW w:type="dxa" w:w="3969"/>
            <w:vAlign w:val="center"/>
            <w:tcMar>
              <w:top w:w="80" w:type="dxa"/>
              <w:start w:w="120" w:type="dxa"/>
              <w:bottom w:w="80" w:type="dxa"/>
              <w:end w:w="120" w:type="dxa"/>
            </w:tcMar>
          </w:tcPr>
          <w:p>
            <w:pPr>
              <w:spacing w:after="40"/>
            </w:pPr>
            <w:r>
              <w:rPr>
                <w:rFonts w:ascii="SimSun" w:hAnsi="SimSun" w:eastAsia="宋体"/>
                <w:sz w:val="20"/>
              </w:rPr>
              <w:t>突出周期性冲击特征，重点用于轴承故障判断</w:t>
            </w:r>
          </w:p>
        </w:tc>
      </w:tr>
    </w:tbl>
    <w:p/>
    <w:p>
      <w:pPr>
        <w:pStyle w:val="Heading2"/>
      </w:pPr>
      <w:r>
        <w:t>2.5 多维特征集构建</w:t>
      </w:r>
    </w:p>
    <w:p>
      <w:pPr>
        <w:spacing w:line="276" w:lineRule="auto" w:after="80"/>
      </w:pPr>
      <w:r>
        <w:rPr>
          <w:rFonts w:ascii="Times New Roman" w:hAnsi="Times New Roman" w:eastAsia="宋体"/>
        </w:rPr>
        <w:t>每段振动信号经预处理后提取上述多维特征，形成特征向量 X=[时域特征, 频域特征, 小波包能量特征, 包络谱特征]，并与对应故障标签 y 共同组成机器学习数据集。最终模型输入不是原始波形，而是经过工程含义解释的特征集。</w:t>
      </w:r>
    </w:p>
    <w:p>
      <w:pPr>
        <w:pStyle w:val="Heading1"/>
      </w:pPr>
      <w:r>
        <w:t>第 3 章 基于机器学习的水泵故障诊断方法</w:t>
      </w:r>
    </w:p>
    <w:p>
      <w:pPr>
        <w:spacing w:line="276" w:lineRule="auto" w:after="80"/>
      </w:pPr>
      <w:r>
        <w:rPr>
          <w:rFonts w:ascii="Times New Roman" w:hAnsi="Times New Roman" w:eastAsia="宋体"/>
        </w:rPr>
        <w:t>本章专门写模型，是论文中“加入机器学习内容”的核心章节。BP 神经网络用于继承和对照师兄方法，SVM 和随机森林用于扩展模型对比。</w:t>
      </w:r>
    </w:p>
    <w:p>
      <w:pPr>
        <w:pStyle w:val="Heading2"/>
      </w:pPr>
      <w:r>
        <w:t>3.1 机器学习诊断流程</w:t>
      </w:r>
    </w:p>
    <w:p>
      <w:pPr>
        <w:spacing w:line="276" w:lineRule="auto" w:after="80"/>
      </w:pPr>
      <w:r>
        <w:rPr>
          <w:rFonts w:ascii="Times New Roman" w:hAnsi="Times New Roman" w:eastAsia="宋体"/>
        </w:rPr>
        <w:t>诊断流程可写为：特征输入 -&gt; 数据划分 -&gt; 模型训练 -&gt; 故障分类 -&gt; 性能评价。训练集用于参数学习，测试集用于评价模型对未知样本的识别能力。</w:t>
      </w:r>
    </w:p>
    <w:p>
      <w:pPr>
        <w:pStyle w:val="Heading2"/>
      </w:pPr>
      <w:r>
        <w:t>3.2 BP 神经网络诊断模型</w:t>
      </w:r>
    </w:p>
    <w:p>
      <w:pPr>
        <w:spacing w:line="276" w:lineRule="auto" w:after="80"/>
      </w:pPr>
      <w:r>
        <w:rPr>
          <w:rFonts w:ascii="Times New Roman" w:hAnsi="Times New Roman" w:eastAsia="宋体"/>
        </w:rPr>
        <w:t>BP 神经网络作为前期方法的继承和对照模型，能够通过非线性映射建立特征与故障类别之间的关系。但其训练结果受初始权重、样本规模和参数设置影响较大，容易出现收敛慢或稳定性不足的问题。</w:t>
      </w:r>
    </w:p>
    <w:p>
      <w:pPr>
        <w:pStyle w:val="Heading2"/>
      </w:pPr>
      <w:r>
        <w:t>3.3 SVM 诊断模型</w:t>
      </w:r>
    </w:p>
    <w:p>
      <w:pPr>
        <w:spacing w:line="276" w:lineRule="auto" w:after="80"/>
      </w:pPr>
      <w:r>
        <w:rPr>
          <w:rFonts w:ascii="Times New Roman" w:hAnsi="Times New Roman" w:eastAsia="宋体"/>
        </w:rPr>
        <w:t>SVM 适合小样本、非线性分类问题，可通过核函数把特征映射到高维空间，并寻找具有较大间隔的分类超平面。对于实验样本数量有限的水泵故障诊断任务，SVM 可作为重要对比模型。</w:t>
      </w:r>
    </w:p>
    <w:p>
      <w:pPr>
        <w:pStyle w:val="Heading2"/>
      </w:pPr>
      <w:r>
        <w:t>3.4 随机森林诊断模型</w:t>
      </w:r>
    </w:p>
    <w:p>
      <w:pPr>
        <w:spacing w:line="276" w:lineRule="auto" w:after="80"/>
      </w:pPr>
      <w:r>
        <w:rPr>
          <w:rFonts w:ascii="Times New Roman" w:hAnsi="Times New Roman" w:eastAsia="宋体"/>
        </w:rPr>
        <w:t>随机森林由多棵决策树组成，具有较好的抗噪声能力和稳定性，并能输出特征重要性。对于多维振动特征输入，随机森林不仅能完成分类，还能辅助分析 RMS、1X、2X、小波包高频能量等特征对故障识别的贡献。</w:t>
      </w:r>
    </w:p>
    <w:p>
      <w:pPr>
        <w:pStyle w:val="Heading2"/>
      </w:pPr>
      <w:r>
        <w:t>3.5 模型评价指标</w:t>
      </w:r>
    </w:p>
    <w:p>
      <w:pPr>
        <w:spacing w:line="276" w:lineRule="auto" w:after="80"/>
      </w:pPr>
      <w:r>
        <w:rPr>
          <w:rFonts w:ascii="Times New Roman" w:hAnsi="Times New Roman" w:eastAsia="宋体"/>
        </w:rPr>
        <w:t>评价指标包括准确率、精确率、召回率、F1 值、宏平均 F1 和混淆矩阵。对于类别不均衡的数据，不能只看准确率，应重点关注宏平均 F1 和各类故障的混淆情况。</w:t>
      </w:r>
    </w:p>
    <w:p>
      <w:pPr>
        <w:pStyle w:val="Heading2"/>
      </w:pPr>
      <w:r>
        <w:t>3.6 模型对比实验设计</w:t>
      </w:r>
    </w:p>
    <w:p>
      <w:pPr>
        <w:spacing w:line="276" w:lineRule="auto" w:after="80"/>
      </w:pPr>
      <w:r>
        <w:rPr>
          <w:rFonts w:ascii="Times New Roman" w:hAnsi="Times New Roman" w:eastAsia="宋体"/>
        </w:rPr>
        <w:t>比较 BP、SVM 和随机森林的目的不是单纯追求最高准确率，而是评价不同模型在小样本、多故障类别和特征融合条件下的稳定性、泛化能力和工程可解释性。</w:t>
      </w:r>
    </w:p>
    <w:p>
      <w:pPr>
        <w:pStyle w:val="Heading1"/>
      </w:pPr>
      <w:r>
        <w:t>第 4 章 数据集构建与实验结果分析</w:t>
      </w:r>
    </w:p>
    <w:p>
      <w:pPr>
        <w:spacing w:line="276" w:lineRule="auto" w:after="80"/>
      </w:pPr>
      <w:r>
        <w:rPr>
          <w:rFonts w:ascii="Times New Roman" w:hAnsi="Times New Roman" w:eastAsia="宋体"/>
        </w:rPr>
        <w:t>本章是论文最重要的实验章。建议把公开数据预实验和自建水泵振动数据实验放在同一章中：公开数据用于验证流程，自采数据用于支撑最终论文结论。</w:t>
      </w:r>
    </w:p>
    <w:p>
      <w:pPr>
        <w:pStyle w:val="Heading2"/>
      </w:pPr>
      <w:r>
        <w:t>4.1 公开数据集说明</w:t>
      </w:r>
    </w:p>
    <w:p>
      <w:pPr>
        <w:spacing w:line="276" w:lineRule="auto" w:after="80"/>
      </w:pPr>
      <w:r>
        <w:rPr>
          <w:rFonts w:ascii="Times New Roman" w:hAnsi="Times New Roman" w:eastAsia="宋体"/>
        </w:rPr>
        <w:t>公开数据集可用于先验证特征提取、数据划分、模型训练和评价流程是否可行。论文中应明确说明公开数据只作为预实验和方法验证，不能完全替代自建水泵实验数据。</w:t>
      </w:r>
    </w:p>
    <w:p>
      <w:pPr>
        <w:pStyle w:val="Heading2"/>
      </w:pPr>
      <w:r>
        <w:t>4.2 公开数据预实验结果</w:t>
      </w:r>
    </w:p>
    <w:p>
      <w:pPr>
        <w:spacing w:line="276" w:lineRule="auto" w:after="80"/>
      </w:pPr>
      <w:r>
        <w:rPr>
          <w:rFonts w:ascii="Times New Roman" w:hAnsi="Times New Roman" w:eastAsia="宋体"/>
        </w:rPr>
        <w:t>已有公开数据预实验结果可按普通随机划分和按设备编号分组验证分别展示。分组验证更接近未知设备场景，因此评价更严格。</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35"/>
            <w:vAlign w:val="center"/>
            <w:tcMar>
              <w:top w:w="80" w:type="dxa"/>
              <w:start w:w="120" w:type="dxa"/>
              <w:bottom w:w="80" w:type="dxa"/>
              <w:end w:w="120" w:type="dxa"/>
            </w:tcMar>
            <w:shd w:fill="F2F4F7"/>
          </w:tcPr>
          <w:p>
            <w:pPr>
              <w:spacing w:after="40"/>
            </w:pPr>
            <w:r>
              <w:rPr>
                <w:rFonts w:ascii="SimSun" w:hAnsi="SimSun" w:eastAsia="宋体"/>
                <w:b/>
                <w:sz w:val="20"/>
              </w:rPr>
              <w:t>普通随机划分</w:t>
            </w:r>
          </w:p>
        </w:tc>
        <w:tc>
          <w:tcPr>
            <w:tcW w:type="dxa" w:w="1701"/>
            <w:vAlign w:val="center"/>
            <w:tcMar>
              <w:top w:w="80" w:type="dxa"/>
              <w:start w:w="120" w:type="dxa"/>
              <w:bottom w:w="80" w:type="dxa"/>
              <w:end w:w="120" w:type="dxa"/>
            </w:tcMar>
            <w:shd w:fill="F2F4F7"/>
          </w:tcPr>
          <w:p>
            <w:pPr>
              <w:spacing w:after="40"/>
            </w:pPr>
            <w:r>
              <w:rPr>
                <w:rFonts w:ascii="SimSun" w:hAnsi="SimSun" w:eastAsia="宋体"/>
                <w:b/>
                <w:sz w:val="20"/>
              </w:rPr>
              <w:t>准确率</w:t>
            </w:r>
          </w:p>
        </w:tc>
        <w:tc>
          <w:tcPr>
            <w:tcW w:type="dxa" w:w="1701"/>
            <w:vAlign w:val="center"/>
            <w:tcMar>
              <w:top w:w="80" w:type="dxa"/>
              <w:start w:w="120" w:type="dxa"/>
              <w:bottom w:w="80" w:type="dxa"/>
              <w:end w:w="120" w:type="dxa"/>
            </w:tcMar>
            <w:shd w:fill="F2F4F7"/>
          </w:tcPr>
          <w:p>
            <w:pPr>
              <w:spacing w:after="40"/>
            </w:pPr>
            <w:r>
              <w:rPr>
                <w:rFonts w:ascii="SimSun" w:hAnsi="SimSun" w:eastAsia="宋体"/>
                <w:b/>
                <w:sz w:val="20"/>
              </w:rPr>
              <w:t>宏平均 F1</w:t>
            </w:r>
          </w:p>
        </w:tc>
      </w:tr>
      <w:tr>
        <w:tc>
          <w:tcPr>
            <w:tcW w:type="dxa" w:w="2835"/>
            <w:vAlign w:val="center"/>
            <w:tcMar>
              <w:top w:w="80" w:type="dxa"/>
              <w:start w:w="120" w:type="dxa"/>
              <w:bottom w:w="80" w:type="dxa"/>
              <w:end w:w="120" w:type="dxa"/>
            </w:tcMar>
          </w:tcPr>
          <w:p>
            <w:pPr>
              <w:spacing w:after="40"/>
            </w:pPr>
            <w:r>
              <w:rPr>
                <w:rFonts w:ascii="SimSun" w:hAnsi="SimSun" w:eastAsia="宋体"/>
                <w:sz w:val="20"/>
              </w:rPr>
              <w:t>SVM</w:t>
            </w:r>
          </w:p>
        </w:tc>
        <w:tc>
          <w:tcPr>
            <w:tcW w:type="dxa" w:w="1701"/>
            <w:vAlign w:val="center"/>
            <w:tcMar>
              <w:top w:w="80" w:type="dxa"/>
              <w:start w:w="120" w:type="dxa"/>
              <w:bottom w:w="80" w:type="dxa"/>
              <w:end w:w="120" w:type="dxa"/>
            </w:tcMar>
          </w:tcPr>
          <w:p>
            <w:pPr>
              <w:spacing w:after="40"/>
            </w:pPr>
            <w:r>
              <w:rPr>
                <w:rFonts w:ascii="SimSun" w:hAnsi="SimSun" w:eastAsia="宋体"/>
                <w:sz w:val="20"/>
              </w:rPr>
              <w:t>0.9330</w:t>
            </w:r>
          </w:p>
        </w:tc>
        <w:tc>
          <w:tcPr>
            <w:tcW w:type="dxa" w:w="1701"/>
            <w:vAlign w:val="center"/>
            <w:tcMar>
              <w:top w:w="80" w:type="dxa"/>
              <w:start w:w="120" w:type="dxa"/>
              <w:bottom w:w="80" w:type="dxa"/>
              <w:end w:w="120" w:type="dxa"/>
            </w:tcMar>
          </w:tcPr>
          <w:p>
            <w:pPr>
              <w:spacing w:after="40"/>
            </w:pPr>
            <w:r>
              <w:rPr>
                <w:rFonts w:ascii="SimSun" w:hAnsi="SimSun" w:eastAsia="宋体"/>
                <w:sz w:val="20"/>
              </w:rPr>
              <w:t>0.8303</w:t>
            </w:r>
          </w:p>
        </w:tc>
      </w:tr>
      <w:tr>
        <w:tc>
          <w:tcPr>
            <w:tcW w:type="dxa" w:w="2835"/>
            <w:vAlign w:val="center"/>
            <w:tcMar>
              <w:top w:w="80" w:type="dxa"/>
              <w:start w:w="120" w:type="dxa"/>
              <w:bottom w:w="80" w:type="dxa"/>
              <w:end w:w="120" w:type="dxa"/>
            </w:tcMar>
          </w:tcPr>
          <w:p>
            <w:pPr>
              <w:spacing w:after="40"/>
            </w:pPr>
            <w:r>
              <w:rPr>
                <w:rFonts w:ascii="SimSun" w:hAnsi="SimSun" w:eastAsia="宋体"/>
                <w:sz w:val="20"/>
              </w:rPr>
              <w:t>随机森林</w:t>
            </w:r>
          </w:p>
        </w:tc>
        <w:tc>
          <w:tcPr>
            <w:tcW w:type="dxa" w:w="1701"/>
            <w:vAlign w:val="center"/>
            <w:tcMar>
              <w:top w:w="80" w:type="dxa"/>
              <w:start w:w="120" w:type="dxa"/>
              <w:bottom w:w="80" w:type="dxa"/>
              <w:end w:w="120" w:type="dxa"/>
            </w:tcMar>
          </w:tcPr>
          <w:p>
            <w:pPr>
              <w:spacing w:after="40"/>
            </w:pPr>
            <w:r>
              <w:rPr>
                <w:rFonts w:ascii="SimSun" w:hAnsi="SimSun" w:eastAsia="宋体"/>
                <w:sz w:val="20"/>
              </w:rPr>
              <w:t>0.9481</w:t>
            </w:r>
          </w:p>
        </w:tc>
        <w:tc>
          <w:tcPr>
            <w:tcW w:type="dxa" w:w="1701"/>
            <w:vAlign w:val="center"/>
            <w:tcMar>
              <w:top w:w="80" w:type="dxa"/>
              <w:start w:w="120" w:type="dxa"/>
              <w:bottom w:w="80" w:type="dxa"/>
              <w:end w:w="120" w:type="dxa"/>
            </w:tcMar>
          </w:tcPr>
          <w:p>
            <w:pPr>
              <w:spacing w:after="40"/>
            </w:pPr>
            <w:r>
              <w:rPr>
                <w:rFonts w:ascii="SimSun" w:hAnsi="SimSun" w:eastAsia="宋体"/>
                <w:sz w:val="20"/>
              </w:rPr>
              <w:t>0.8657</w:t>
            </w:r>
          </w:p>
        </w:tc>
      </w:tr>
      <w:tr>
        <w:tc>
          <w:tcPr>
            <w:tcW w:type="dxa" w:w="2835"/>
            <w:vAlign w:val="center"/>
            <w:tcMar>
              <w:top w:w="80" w:type="dxa"/>
              <w:start w:w="120" w:type="dxa"/>
              <w:bottom w:w="80" w:type="dxa"/>
              <w:end w:w="120" w:type="dxa"/>
            </w:tcMar>
          </w:tcPr>
          <w:p>
            <w:pPr>
              <w:spacing w:after="40"/>
            </w:pPr>
            <w:r>
              <w:rPr>
                <w:rFonts w:ascii="SimSun" w:hAnsi="SimSun" w:eastAsia="宋体"/>
                <w:sz w:val="20"/>
              </w:rPr>
              <w:t>BP</w:t>
            </w:r>
          </w:p>
        </w:tc>
        <w:tc>
          <w:tcPr>
            <w:tcW w:type="dxa" w:w="1701"/>
            <w:vAlign w:val="center"/>
            <w:tcMar>
              <w:top w:w="80" w:type="dxa"/>
              <w:start w:w="120" w:type="dxa"/>
              <w:bottom w:w="80" w:type="dxa"/>
              <w:end w:w="120" w:type="dxa"/>
            </w:tcMar>
          </w:tcPr>
          <w:p>
            <w:pPr>
              <w:spacing w:after="40"/>
            </w:pPr>
            <w:r>
              <w:rPr>
                <w:rFonts w:ascii="SimSun" w:hAnsi="SimSun" w:eastAsia="宋体"/>
                <w:sz w:val="20"/>
              </w:rPr>
              <w:t>0.9456</w:t>
            </w:r>
          </w:p>
        </w:tc>
        <w:tc>
          <w:tcPr>
            <w:tcW w:type="dxa" w:w="1701"/>
            <w:vAlign w:val="center"/>
            <w:tcMar>
              <w:top w:w="80" w:type="dxa"/>
              <w:start w:w="120" w:type="dxa"/>
              <w:bottom w:w="80" w:type="dxa"/>
              <w:end w:w="120" w:type="dxa"/>
            </w:tcMar>
          </w:tcPr>
          <w:p>
            <w:pPr>
              <w:spacing w:after="40"/>
            </w:pPr>
            <w:r>
              <w:rPr>
                <w:rFonts w:ascii="SimSun" w:hAnsi="SimSun" w:eastAsia="宋体"/>
                <w:sz w:val="20"/>
              </w:rPr>
              <w:t>0.8223</w:t>
            </w:r>
          </w:p>
        </w:tc>
      </w:tr>
    </w:tbl>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35"/>
            <w:vAlign w:val="center"/>
            <w:tcMar>
              <w:top w:w="80" w:type="dxa"/>
              <w:start w:w="120" w:type="dxa"/>
              <w:bottom w:w="80" w:type="dxa"/>
              <w:end w:w="120" w:type="dxa"/>
            </w:tcMar>
            <w:shd w:fill="F2F4F7"/>
          </w:tcPr>
          <w:p>
            <w:pPr>
              <w:spacing w:after="40"/>
            </w:pPr>
            <w:r>
              <w:rPr>
                <w:rFonts w:ascii="SimSun" w:hAnsi="SimSun" w:eastAsia="宋体"/>
                <w:b/>
                <w:sz w:val="20"/>
              </w:rPr>
              <w:t>按设备编号分组验证</w:t>
            </w:r>
          </w:p>
        </w:tc>
        <w:tc>
          <w:tcPr>
            <w:tcW w:type="dxa" w:w="1701"/>
            <w:vAlign w:val="center"/>
            <w:tcMar>
              <w:top w:w="80" w:type="dxa"/>
              <w:start w:w="120" w:type="dxa"/>
              <w:bottom w:w="80" w:type="dxa"/>
              <w:end w:w="120" w:type="dxa"/>
            </w:tcMar>
            <w:shd w:fill="F2F4F7"/>
          </w:tcPr>
          <w:p>
            <w:pPr>
              <w:spacing w:after="40"/>
            </w:pPr>
            <w:r>
              <w:rPr>
                <w:rFonts w:ascii="SimSun" w:hAnsi="SimSun" w:eastAsia="宋体"/>
                <w:b/>
                <w:sz w:val="20"/>
              </w:rPr>
              <w:t>准确率</w:t>
            </w:r>
          </w:p>
        </w:tc>
        <w:tc>
          <w:tcPr>
            <w:tcW w:type="dxa" w:w="1701"/>
            <w:vAlign w:val="center"/>
            <w:tcMar>
              <w:top w:w="80" w:type="dxa"/>
              <w:start w:w="120" w:type="dxa"/>
              <w:bottom w:w="80" w:type="dxa"/>
              <w:end w:w="120" w:type="dxa"/>
            </w:tcMar>
            <w:shd w:fill="F2F4F7"/>
          </w:tcPr>
          <w:p>
            <w:pPr>
              <w:spacing w:after="40"/>
            </w:pPr>
            <w:r>
              <w:rPr>
                <w:rFonts w:ascii="SimSun" w:hAnsi="SimSun" w:eastAsia="宋体"/>
                <w:b/>
                <w:sz w:val="20"/>
              </w:rPr>
              <w:t>宏平均 F1</w:t>
            </w:r>
          </w:p>
        </w:tc>
      </w:tr>
      <w:tr>
        <w:tc>
          <w:tcPr>
            <w:tcW w:type="dxa" w:w="2835"/>
            <w:vAlign w:val="center"/>
            <w:tcMar>
              <w:top w:w="80" w:type="dxa"/>
              <w:start w:w="120" w:type="dxa"/>
              <w:bottom w:w="80" w:type="dxa"/>
              <w:end w:w="120" w:type="dxa"/>
            </w:tcMar>
          </w:tcPr>
          <w:p>
            <w:pPr>
              <w:spacing w:after="40"/>
            </w:pPr>
            <w:r>
              <w:rPr>
                <w:rFonts w:ascii="SimSun" w:hAnsi="SimSun" w:eastAsia="宋体"/>
                <w:sz w:val="20"/>
              </w:rPr>
              <w:t>SVM</w:t>
            </w:r>
          </w:p>
        </w:tc>
        <w:tc>
          <w:tcPr>
            <w:tcW w:type="dxa" w:w="1701"/>
            <w:vAlign w:val="center"/>
            <w:tcMar>
              <w:top w:w="80" w:type="dxa"/>
              <w:start w:w="120" w:type="dxa"/>
              <w:bottom w:w="80" w:type="dxa"/>
              <w:end w:w="120" w:type="dxa"/>
            </w:tcMar>
          </w:tcPr>
          <w:p>
            <w:pPr>
              <w:spacing w:after="40"/>
            </w:pPr>
            <w:r>
              <w:rPr>
                <w:rFonts w:ascii="SimSun" w:hAnsi="SimSun" w:eastAsia="宋体"/>
                <w:sz w:val="20"/>
              </w:rPr>
              <w:t>0.8806</w:t>
            </w:r>
          </w:p>
        </w:tc>
        <w:tc>
          <w:tcPr>
            <w:tcW w:type="dxa" w:w="1701"/>
            <w:vAlign w:val="center"/>
            <w:tcMar>
              <w:top w:w="80" w:type="dxa"/>
              <w:start w:w="120" w:type="dxa"/>
              <w:bottom w:w="80" w:type="dxa"/>
              <w:end w:w="120" w:type="dxa"/>
            </w:tcMar>
          </w:tcPr>
          <w:p>
            <w:pPr>
              <w:spacing w:after="40"/>
            </w:pPr>
            <w:r>
              <w:rPr>
                <w:rFonts w:ascii="SimSun" w:hAnsi="SimSun" w:eastAsia="宋体"/>
                <w:sz w:val="20"/>
              </w:rPr>
              <w:t>0.6191</w:t>
            </w:r>
          </w:p>
        </w:tc>
      </w:tr>
      <w:tr>
        <w:tc>
          <w:tcPr>
            <w:tcW w:type="dxa" w:w="2835"/>
            <w:vAlign w:val="center"/>
            <w:tcMar>
              <w:top w:w="80" w:type="dxa"/>
              <w:start w:w="120" w:type="dxa"/>
              <w:bottom w:w="80" w:type="dxa"/>
              <w:end w:w="120" w:type="dxa"/>
            </w:tcMar>
          </w:tcPr>
          <w:p>
            <w:pPr>
              <w:spacing w:after="40"/>
            </w:pPr>
            <w:r>
              <w:rPr>
                <w:rFonts w:ascii="SimSun" w:hAnsi="SimSun" w:eastAsia="宋体"/>
                <w:sz w:val="20"/>
              </w:rPr>
              <w:t>随机森林</w:t>
            </w:r>
          </w:p>
        </w:tc>
        <w:tc>
          <w:tcPr>
            <w:tcW w:type="dxa" w:w="1701"/>
            <w:vAlign w:val="center"/>
            <w:tcMar>
              <w:top w:w="80" w:type="dxa"/>
              <w:start w:w="120" w:type="dxa"/>
              <w:bottom w:w="80" w:type="dxa"/>
              <w:end w:w="120" w:type="dxa"/>
            </w:tcMar>
          </w:tcPr>
          <w:p>
            <w:pPr>
              <w:spacing w:after="40"/>
            </w:pPr>
            <w:r>
              <w:rPr>
                <w:rFonts w:ascii="SimSun" w:hAnsi="SimSun" w:eastAsia="宋体"/>
                <w:sz w:val="20"/>
              </w:rPr>
              <w:t>0.9058</w:t>
            </w:r>
          </w:p>
        </w:tc>
        <w:tc>
          <w:tcPr>
            <w:tcW w:type="dxa" w:w="1701"/>
            <w:vAlign w:val="center"/>
            <w:tcMar>
              <w:top w:w="80" w:type="dxa"/>
              <w:start w:w="120" w:type="dxa"/>
              <w:bottom w:w="80" w:type="dxa"/>
              <w:end w:w="120" w:type="dxa"/>
            </w:tcMar>
          </w:tcPr>
          <w:p>
            <w:pPr>
              <w:spacing w:after="40"/>
            </w:pPr>
            <w:r>
              <w:rPr>
                <w:rFonts w:ascii="SimSun" w:hAnsi="SimSun" w:eastAsia="宋体"/>
                <w:sz w:val="20"/>
              </w:rPr>
              <w:t>0.7313</w:t>
            </w:r>
          </w:p>
        </w:tc>
      </w:tr>
      <w:tr>
        <w:tc>
          <w:tcPr>
            <w:tcW w:type="dxa" w:w="2835"/>
            <w:vAlign w:val="center"/>
            <w:tcMar>
              <w:top w:w="80" w:type="dxa"/>
              <w:start w:w="120" w:type="dxa"/>
              <w:bottom w:w="80" w:type="dxa"/>
              <w:end w:w="120" w:type="dxa"/>
            </w:tcMar>
          </w:tcPr>
          <w:p>
            <w:pPr>
              <w:spacing w:after="40"/>
            </w:pPr>
            <w:r>
              <w:rPr>
                <w:rFonts w:ascii="SimSun" w:hAnsi="SimSun" w:eastAsia="宋体"/>
                <w:sz w:val="20"/>
              </w:rPr>
              <w:t>BP</w:t>
            </w:r>
          </w:p>
        </w:tc>
        <w:tc>
          <w:tcPr>
            <w:tcW w:type="dxa" w:w="1701"/>
            <w:vAlign w:val="center"/>
            <w:tcMar>
              <w:top w:w="80" w:type="dxa"/>
              <w:start w:w="120" w:type="dxa"/>
              <w:bottom w:w="80" w:type="dxa"/>
              <w:end w:w="120" w:type="dxa"/>
            </w:tcMar>
          </w:tcPr>
          <w:p>
            <w:pPr>
              <w:spacing w:after="40"/>
            </w:pPr>
            <w:r>
              <w:rPr>
                <w:rFonts w:ascii="SimSun" w:hAnsi="SimSun" w:eastAsia="宋体"/>
                <w:sz w:val="20"/>
              </w:rPr>
              <w:t>0.8870</w:t>
            </w:r>
          </w:p>
        </w:tc>
        <w:tc>
          <w:tcPr>
            <w:tcW w:type="dxa" w:w="1701"/>
            <w:vAlign w:val="center"/>
            <w:tcMar>
              <w:top w:w="80" w:type="dxa"/>
              <w:start w:w="120" w:type="dxa"/>
              <w:bottom w:w="80" w:type="dxa"/>
              <w:end w:w="120" w:type="dxa"/>
            </w:tcMar>
          </w:tcPr>
          <w:p>
            <w:pPr>
              <w:spacing w:after="40"/>
            </w:pPr>
            <w:r>
              <w:rPr>
                <w:rFonts w:ascii="SimSun" w:hAnsi="SimSun" w:eastAsia="宋体"/>
                <w:sz w:val="20"/>
              </w:rPr>
              <w:t>0.6383</w:t>
            </w:r>
          </w:p>
        </w:tc>
      </w:tr>
    </w:tbl>
    <w:p/>
    <w:p>
      <w:pPr>
        <w:pStyle w:val="Heading2"/>
      </w:pPr>
      <w:r>
        <w:t>4.3 公开数据结果分析</w:t>
      </w:r>
    </w:p>
    <w:p>
      <w:pPr>
        <w:spacing w:line="276" w:lineRule="auto" w:after="80"/>
      </w:pPr>
      <w:r>
        <w:rPr>
          <w:rFonts w:ascii="Times New Roman" w:hAnsi="Times New Roman" w:eastAsia="宋体"/>
        </w:rPr>
        <w:t>从结果看，随机森林在两种划分方式下整体表现较好，说明其对多维振动特征具有较好的适应性。按设备编号分组验证的指标明显低于普通随机划分，说明随机划分可能高估模型泛化能力。不对中样本较少时，模型对该类故障的识别稳定性会下降，应在混淆矩阵中重点分析。</w:t>
      </w:r>
    </w:p>
    <w:p>
      <w:pPr>
        <w:pStyle w:val="Heading2"/>
      </w:pPr>
      <w:r>
        <w:t>4.4 自建水泵振动数据采集方案</w:t>
      </w:r>
    </w:p>
    <w:p>
      <w:pPr>
        <w:spacing w:line="276" w:lineRule="auto" w:after="80"/>
      </w:pPr>
      <w:r>
        <w:rPr>
          <w:rFonts w:ascii="Times New Roman" w:hAnsi="Times New Roman" w:eastAsia="宋体"/>
        </w:rPr>
        <w:t>自建数据采集方案应写清实验台、传感器、测点、采样频率、采样时长和工况设置。建议先采集正常工况，再采集不平衡、不对中、松动、轴承故障、汽蚀或堵塞等故障工况，并保证各工况的转速、负载和采样条件尽量一致。</w:t>
      </w:r>
    </w:p>
    <w:p>
      <w:pPr>
        <w:pStyle w:val="ListBullet"/>
        <w:spacing w:after="40"/>
        <w:ind w:left="420" w:hanging="181"/>
      </w:pPr>
      <w:r>
        <w:rPr>
          <w:rFonts w:ascii="Times New Roman" w:hAnsi="Times New Roman" w:eastAsia="宋体"/>
        </w:rPr>
        <w:t>实验台：说明水泵、电机、管路和负载调节方式。</w:t>
      </w:r>
    </w:p>
    <w:p>
      <w:pPr>
        <w:pStyle w:val="ListBullet"/>
        <w:spacing w:after="40"/>
        <w:ind w:left="420" w:hanging="181"/>
      </w:pPr>
      <w:r>
        <w:rPr>
          <w:rFonts w:ascii="Times New Roman" w:hAnsi="Times New Roman" w:eastAsia="宋体"/>
        </w:rPr>
        <w:t>传感器：说明振动传感器类型、量程、灵敏度和安装方式。</w:t>
      </w:r>
    </w:p>
    <w:p>
      <w:pPr>
        <w:pStyle w:val="ListBullet"/>
        <w:spacing w:after="40"/>
        <w:ind w:left="420" w:hanging="181"/>
      </w:pPr>
      <w:r>
        <w:rPr>
          <w:rFonts w:ascii="Times New Roman" w:hAnsi="Times New Roman" w:eastAsia="宋体"/>
        </w:rPr>
        <w:t>测点：建议在泵体、轴承座、电机端或联轴器附近布置测点。</w:t>
      </w:r>
    </w:p>
    <w:p>
      <w:pPr>
        <w:pStyle w:val="ListBullet"/>
        <w:spacing w:after="40"/>
        <w:ind w:left="420" w:hanging="181"/>
      </w:pPr>
      <w:r>
        <w:rPr>
          <w:rFonts w:ascii="Times New Roman" w:hAnsi="Times New Roman" w:eastAsia="宋体"/>
        </w:rPr>
        <w:t>采样频率：应满足故障频率和高频冲击分析需求。</w:t>
      </w:r>
    </w:p>
    <w:p>
      <w:pPr>
        <w:pStyle w:val="ListBullet"/>
        <w:spacing w:after="40"/>
        <w:ind w:left="420" w:hanging="181"/>
      </w:pPr>
      <w:r>
        <w:rPr>
          <w:rFonts w:ascii="Times New Roman" w:hAnsi="Times New Roman" w:eastAsia="宋体"/>
        </w:rPr>
        <w:t>工况设置：明确正常、不平衡、不对中、松动、轴承故障、汽蚀或堵塞的模拟方式。</w:t>
      </w:r>
    </w:p>
    <w:p>
      <w:pPr>
        <w:pStyle w:val="Heading2"/>
      </w:pPr>
      <w:r>
        <w:t>4.5 自建数据实验结果</w:t>
      </w:r>
    </w:p>
    <w:p>
      <w:pPr>
        <w:spacing w:line="276" w:lineRule="auto" w:after="80"/>
      </w:pPr>
      <w:r>
        <w:rPr>
          <w:rFonts w:ascii="Times New Roman" w:hAnsi="Times New Roman" w:eastAsia="宋体"/>
        </w:rPr>
        <w:t>本节后续补充自采数据结果，包括各模型准确率、宏平均 F1、每类故障识别结果和诊断时间。建议保持与公开数据实验相同的评价指标，便于前后对照。</w:t>
      </w:r>
    </w:p>
    <w:p>
      <w:pPr>
        <w:pStyle w:val="Heading2"/>
      </w:pPr>
      <w:r>
        <w:t>4.6 特征重要性与混淆矩阵分析</w:t>
      </w:r>
    </w:p>
    <w:p>
      <w:pPr>
        <w:spacing w:line="276" w:lineRule="auto" w:after="80"/>
      </w:pPr>
      <w:r>
        <w:rPr>
          <w:rFonts w:ascii="Times New Roman" w:hAnsi="Times New Roman" w:eastAsia="宋体"/>
        </w:rPr>
        <w:t>随机森林特征重要性可用于解释哪些振动特征对分类贡献较大。论文中可结合混淆矩阵解释 1X、2X、RMS、峭度、小波包高频能量、叶频和包络谱特征频率的重要性。对于汽蚀/堵塞检测，可强调高频能量占比、叶频幅值和小波包能量分布对区分两类水力故障的作用。</w:t>
      </w:r>
    </w:p>
    <w:p>
      <w:pPr>
        <w:pStyle w:val="Heading1"/>
      </w:pPr>
      <w:r>
        <w:t>第 5 章 水泵故障诊断系统设计与实现</w:t>
      </w:r>
    </w:p>
    <w:p>
      <w:pPr>
        <w:spacing w:line="276" w:lineRule="auto" w:after="80"/>
      </w:pPr>
      <w:r>
        <w:rPr>
          <w:rFonts w:ascii="Times New Roman" w:hAnsi="Times New Roman" w:eastAsia="宋体"/>
        </w:rPr>
        <w:t>本章体现专业硕士论文的工程性。如果最终没有硬件，可写成“上位机诊断系统”；如果完成传感器、采集模块和显示报警一体化，则可写成“便携式诊断仪”。</w:t>
      </w:r>
    </w:p>
    <w:p>
      <w:pPr>
        <w:pStyle w:val="Heading2"/>
      </w:pPr>
      <w:r>
        <w:t>5.1 系统总体设计</w:t>
      </w:r>
    </w:p>
    <w:p>
      <w:pPr>
        <w:spacing w:line="276" w:lineRule="auto" w:after="80"/>
      </w:pPr>
      <w:r>
        <w:rPr>
          <w:rFonts w:ascii="Times New Roman" w:hAnsi="Times New Roman" w:eastAsia="宋体"/>
        </w:rPr>
        <w:t>系统总体流程为：数据采集 -&gt; 信号分析 -&gt; 特征提取 -&gt; 模型诊断 -&gt; 结果显示。系统应能完成从振动信号输入到故障类型输出的完整诊断流程。</w:t>
      </w:r>
    </w:p>
    <w:p>
      <w:pPr>
        <w:pStyle w:val="Heading2"/>
      </w:pPr>
      <w:r>
        <w:t>5.2 数据采集模块</w:t>
      </w:r>
    </w:p>
    <w:p>
      <w:pPr>
        <w:spacing w:line="276" w:lineRule="auto" w:after="80"/>
      </w:pPr>
      <w:r>
        <w:rPr>
          <w:rFonts w:ascii="Times New Roman" w:hAnsi="Times New Roman" w:eastAsia="宋体"/>
        </w:rPr>
        <w:t>说明传感器、采集卡或数据导入方式。如果暂时没有硬件采集，可先设计数据导入模块，支持读取采集文件并完成后续分析。</w:t>
      </w:r>
    </w:p>
    <w:p>
      <w:pPr>
        <w:pStyle w:val="Heading2"/>
      </w:pPr>
      <w:r>
        <w:t>5.3 信号分析与特征提取模块</w:t>
      </w:r>
    </w:p>
    <w:p>
      <w:pPr>
        <w:spacing w:line="276" w:lineRule="auto" w:after="80"/>
      </w:pPr>
      <w:r>
        <w:rPr>
          <w:rFonts w:ascii="Times New Roman" w:hAnsi="Times New Roman" w:eastAsia="宋体"/>
        </w:rPr>
        <w:t>该模块用于显示波形、频谱、小波包能量分布和包络谱。这样既能服务模型诊断，也能让系统具有工程解释能力。</w:t>
      </w:r>
    </w:p>
    <w:p>
      <w:pPr>
        <w:pStyle w:val="Heading2"/>
      </w:pPr>
      <w:r>
        <w:t>5.4 故障诊断模块</w:t>
      </w:r>
    </w:p>
    <w:p>
      <w:pPr>
        <w:spacing w:line="276" w:lineRule="auto" w:after="80"/>
      </w:pPr>
      <w:r>
        <w:rPr>
          <w:rFonts w:ascii="Times New Roman" w:hAnsi="Times New Roman" w:eastAsia="宋体"/>
        </w:rPr>
        <w:t>诊断模块调用训练好的模型，优先可选公开数据和自采数据中表现较好的随机森林模型，同时保留 BP 和 SVM 作为对比或备选模型。</w:t>
      </w:r>
    </w:p>
    <w:p>
      <w:pPr>
        <w:pStyle w:val="Heading2"/>
      </w:pPr>
      <w:r>
        <w:t>5.5 结果显示与报警模块</w:t>
      </w:r>
    </w:p>
    <w:p>
      <w:pPr>
        <w:spacing w:line="276" w:lineRule="auto" w:after="80"/>
      </w:pPr>
      <w:r>
        <w:rPr>
          <w:rFonts w:ascii="Times New Roman" w:hAnsi="Times New Roman" w:eastAsia="宋体"/>
        </w:rPr>
        <w:t>结果显示包括故障类型、置信度或投票比例、关键特征提示和报警信息。例如，当高频宽带能量和小波包高频能量升高时，可提示汽蚀风险；当叶频及其倍频增强时，可提示堵塞或叶轮流道异常风险。</w:t>
      </w:r>
    </w:p>
    <w:p>
      <w:pPr>
        <w:pStyle w:val="Heading2"/>
      </w:pPr>
      <w:r>
        <w:t>5.6 系统测试</w:t>
      </w:r>
    </w:p>
    <w:p>
      <w:pPr>
        <w:spacing w:line="276" w:lineRule="auto" w:after="80"/>
      </w:pPr>
      <w:r>
        <w:rPr>
          <w:rFonts w:ascii="Times New Roman" w:hAnsi="Times New Roman" w:eastAsia="宋体"/>
        </w:rPr>
        <w:t>系统测试应验证完整流程是否可运行，包括数据导入、波形显示、特征计算、模型分类、结果显示和报警提示。可记录单次诊断耗时，作为工程应用评价指标。</w:t>
      </w:r>
    </w:p>
    <w:p>
      <w:pPr>
        <w:pStyle w:val="Heading1"/>
      </w:pPr>
      <w:r>
        <w:t>第 6 章 总结与展望</w:t>
      </w:r>
    </w:p>
    <w:p>
      <w:pPr>
        <w:pStyle w:val="Heading2"/>
      </w:pPr>
      <w:r>
        <w:t>6.1 全文总结</w:t>
      </w:r>
    </w:p>
    <w:p>
      <w:pPr>
        <w:spacing w:line="276" w:lineRule="auto" w:after="80"/>
      </w:pPr>
      <w:r>
        <w:rPr>
          <w:rFonts w:ascii="Times New Roman" w:hAnsi="Times New Roman" w:eastAsia="宋体"/>
        </w:rPr>
        <w:t>总结全文完成的工作：分析水泵典型故障机理与振动信号特征；构建多维振动特征体系；建立 BP、SVM、随机森林故障诊断模型；完成公开数据和自建数据实验；设计并验证水泵故障诊断系统或诊断仪原型。</w:t>
      </w:r>
    </w:p>
    <w:p>
      <w:pPr>
        <w:pStyle w:val="Heading2"/>
      </w:pPr>
      <w:r>
        <w:t>6.2 主要结论</w:t>
      </w:r>
    </w:p>
    <w:p>
      <w:pPr>
        <w:pStyle w:val="ListNumber"/>
        <w:spacing w:after="40"/>
        <w:ind w:left="420" w:hanging="181"/>
      </w:pPr>
      <w:r>
        <w:rPr>
          <w:rFonts w:ascii="Times New Roman" w:hAnsi="Times New Roman" w:eastAsia="宋体"/>
        </w:rPr>
        <w:t>构建了由时域、频域、小波包能量和包络谱组成的多维振动特征体系，增强了对不同水泵故障的特征表征能力。</w:t>
      </w:r>
    </w:p>
    <w:p>
      <w:pPr>
        <w:pStyle w:val="ListNumber"/>
        <w:spacing w:after="40"/>
        <w:ind w:left="420" w:hanging="181"/>
      </w:pPr>
      <w:r>
        <w:rPr>
          <w:rFonts w:ascii="Times New Roman" w:hAnsi="Times New Roman" w:eastAsia="宋体"/>
        </w:rPr>
        <w:t>对 BP 神经网络、SVM 和随机森林三种模型进行了对比，验证了机器学习方法用于水泵故障诊断的可行性。</w:t>
      </w:r>
    </w:p>
    <w:p>
      <w:pPr>
        <w:pStyle w:val="ListNumber"/>
        <w:spacing w:after="40"/>
        <w:ind w:left="420" w:hanging="181"/>
      </w:pPr>
      <w:r>
        <w:rPr>
          <w:rFonts w:ascii="Times New Roman" w:hAnsi="Times New Roman" w:eastAsia="宋体"/>
        </w:rPr>
        <w:t>完成了诊断系统或诊断仪的总体设计与功能验证，为水泵故障诊断工程应用提供参考。</w:t>
      </w:r>
    </w:p>
    <w:p>
      <w:pPr>
        <w:pStyle w:val="Heading2"/>
      </w:pPr>
      <w:r>
        <w:t>6.3 不足与展望</w:t>
      </w:r>
    </w:p>
    <w:p>
      <w:pPr>
        <w:spacing w:line="276" w:lineRule="auto" w:after="80"/>
      </w:pPr>
      <w:r>
        <w:rPr>
          <w:rFonts w:ascii="Times New Roman" w:hAnsi="Times New Roman" w:eastAsia="宋体"/>
        </w:rPr>
        <w:t>不足可从样本规模、故障类型覆盖、不同工况泛化能力、在线实时诊断和硬件集成程度等方面展开。展望可写后续扩大自采数据规模、增加复杂工况、优化特征选择方法、改进模型在线更新能力，并进一步完善便携式诊断仪或上位机系统。</w:t>
      </w:r>
    </w:p>
    <w:p>
      <w:pPr>
        <w:pStyle w:val="Heading1"/>
      </w:pPr>
      <w:r>
        <w:t>建议保留的核心表述</w:t>
      </w:r>
    </w:p>
    <w:p>
      <w:pPr>
        <w:spacing w:line="276" w:lineRule="auto" w:after="80"/>
      </w:pPr>
      <w:r>
        <w:rPr>
          <w:rFonts w:ascii="Times New Roman" w:hAnsi="Times New Roman" w:eastAsia="宋体"/>
        </w:rPr>
        <w:t>论文主线可反复围绕以下表述展开：本文在前期小波包能量特征与 BP 神经网络诊断方法基础上，引入时域、频域、小波包能量和包络谱等多维振动特征，并对 BP、SVM 和随机森林模型进行对比分析，最终完成面向工程应用的水泵故障诊断系统设计与验证。</w:t>
      </w:r>
    </w:p>
    <w:p>
      <w:pPr>
        <w:spacing w:line="276" w:lineRule="auto" w:after="80"/>
      </w:pPr>
      <w:r>
        <w:rPr>
          <w:rFonts w:ascii="Times New Roman" w:hAnsi="Times New Roman" w:eastAsia="宋体"/>
        </w:rPr>
        <w:t>对于水泵汽蚀与堵塞检测，单纯依靠时域幅值难以稳定区分故障类型，应结合频域特征、小波包能量特征和包络谱特征进行综合判断。其中，汽蚀与高频宽带能量、小波包高频能量关系最明显；堵塞与叶频、低中频能量关系最明显；轴承故障与包络谱关系最明显；不平衡、不对中和松动则与转频及其倍频关系更明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宋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Times New Roman" w:hAnsi="Times New Roman" w:eastAsia="宋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Times New Roman" w:hAnsi="Times New Roman" w:eastAsia="宋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