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B40FC">
      <w:pPr>
        <w:pStyle w:val="3"/>
        <w:bidi w:val="0"/>
      </w:pPr>
      <w:r>
        <w:t>基于多维振动特征与机器学习的水泵故障诊断系统研究</w:t>
      </w:r>
    </w:p>
    <w:p w14:paraId="376A12EE">
      <w:pPr>
        <w:pStyle w:val="3"/>
        <w:bidi w:val="0"/>
      </w:pPr>
      <w:r>
        <w:t>第 2 章 水泵典型故障机理与振动特征分析</w:t>
      </w:r>
    </w:p>
    <w:p w14:paraId="3F6B7660">
      <w:pPr>
        <w:ind w:firstLine="480" w:firstLineChars="200"/>
        <w:rPr>
          <w:sz w:val="24"/>
          <w:szCs w:val="24"/>
        </w:rPr>
      </w:pPr>
      <w:r>
        <w:rPr>
          <w:rFonts w:ascii="宋体" w:hAnsi="宋体" w:eastAsia="宋体"/>
          <w:sz w:val="24"/>
          <w:szCs w:val="24"/>
        </w:rPr>
        <w:t>水泵故障诊断的基础是理解故障机理与振动响应之间的关系。水泵机组在运行过程中同时受到电机驱动、联轴器传动、转子旋转、轴承支承、叶轮流体作用以及基础约束等因素影响。不同故障会改变转子受力状态、支承刚度、流场压力脉动或局部冲击特性，并最终反映到振动信号的幅值、频率组成、能量分布和冲击特征中。因此，在建立机器学习模型之前，需要先对典型故障的产生原因和振动表现进行分析，为后续特征提取和结果解释提供依据。</w:t>
      </w:r>
    </w:p>
    <w:p w14:paraId="594EE63F">
      <w:pPr>
        <w:ind w:firstLine="480" w:firstLineChars="200"/>
        <w:rPr>
          <w:sz w:val="24"/>
          <w:szCs w:val="24"/>
        </w:rPr>
      </w:pPr>
      <w:r>
        <w:rPr>
          <w:rFonts w:ascii="宋体" w:hAnsi="宋体" w:eastAsia="宋体"/>
          <w:sz w:val="24"/>
          <w:szCs w:val="24"/>
        </w:rPr>
        <w:t>本文围绕水泵中较常见且便于通过振动信号表征的故障类型展开，包括正常状态、</w:t>
      </w:r>
      <w:r>
        <w:rPr>
          <w:rFonts w:hint="eastAsia"/>
          <w:sz w:val="24"/>
          <w:szCs w:val="24"/>
          <w:lang w:val="en-US" w:eastAsia="zh-CN"/>
        </w:rPr>
        <w:t>转子</w:t>
      </w:r>
      <w:r>
        <w:rPr>
          <w:rFonts w:ascii="宋体" w:hAnsi="宋体" w:eastAsia="宋体"/>
          <w:sz w:val="24"/>
          <w:szCs w:val="24"/>
        </w:rPr>
        <w:t>不平衡、</w:t>
      </w:r>
      <w:r>
        <w:rPr>
          <w:rFonts w:hint="eastAsia"/>
          <w:sz w:val="24"/>
          <w:szCs w:val="24"/>
          <w:lang w:val="en-US" w:eastAsia="zh-CN"/>
        </w:rPr>
        <w:t>联轴器</w:t>
      </w:r>
      <w:r>
        <w:rPr>
          <w:rFonts w:ascii="宋体" w:hAnsi="宋体" w:eastAsia="宋体"/>
          <w:sz w:val="24"/>
          <w:szCs w:val="24"/>
        </w:rPr>
        <w:t>不对中、</w:t>
      </w:r>
      <w:r>
        <w:rPr>
          <w:rFonts w:hint="eastAsia"/>
          <w:sz w:val="24"/>
          <w:szCs w:val="24"/>
          <w:lang w:val="en-US" w:eastAsia="zh-CN"/>
        </w:rPr>
        <w:t>机械</w:t>
      </w:r>
      <w:r>
        <w:rPr>
          <w:rFonts w:ascii="宋体" w:hAnsi="宋体" w:eastAsia="宋体"/>
          <w:sz w:val="24"/>
          <w:szCs w:val="24"/>
        </w:rPr>
        <w:t>松动、轴承故障和汽蚀等。上述故障既包含轴系机械故障，也包含支承连接故障、滚动轴承局部损伤和水力异常。通过建立故障机理与时域、频域、小波包和包络谱特征之间的对应关系，可以使后续机器学习分类结果具有更明确的工程解释性。</w:t>
      </w:r>
    </w:p>
    <w:p w14:paraId="0DC211ED">
      <w:pPr>
        <w:pStyle w:val="4"/>
      </w:pPr>
      <w:r>
        <w:rPr>
          <w:rFonts w:ascii="宋体" w:hAnsi="宋体" w:eastAsia="宋体"/>
          <w:sz w:val="22"/>
        </w:rPr>
        <w:t>2.1 水泵机组结构与振动来源</w:t>
      </w:r>
    </w:p>
    <w:p w14:paraId="744EF130">
      <w:pPr>
        <w:ind w:firstLine="480" w:firstLineChars="200"/>
        <w:rPr>
          <w:sz w:val="24"/>
          <w:szCs w:val="24"/>
        </w:rPr>
      </w:pPr>
      <w:r>
        <w:rPr>
          <w:rFonts w:ascii="宋体" w:hAnsi="宋体" w:eastAsia="宋体"/>
          <w:sz w:val="24"/>
          <w:szCs w:val="24"/>
        </w:rPr>
        <w:t>典型水泵机组通常由电机、联轴器、泵轴、叶轮、轴承、泵壳、密封部件和基础支承等部分组成。电机通过联轴器向泵轴传递转矩，泵轴带动叶轮旋转，叶轮与流体相互作用实现能量转换。轴承用于支承转子系统并限制转轴运动，基础和地脚螺栓用于保证机组安装刚度和稳定性。由于这些部件之间存在机械连接和能量传递关系，任一部件状态变化都可能引起机组整体振动响应变化。</w:t>
      </w:r>
    </w:p>
    <w:p w14:paraId="4B7C9A80">
      <w:pPr>
        <w:ind w:firstLine="480" w:firstLineChars="200"/>
        <w:rPr>
          <w:sz w:val="24"/>
          <w:szCs w:val="24"/>
        </w:rPr>
      </w:pPr>
      <w:r>
        <w:t>从激励来源看，水泵振动主要包括转子旋转产生的周期性激励、联轴器安装误差引起的附加载荷、轴承滚动接触产生的冲击、基础连接刚度变化引起的非线性振动，以及流体压力脉动和汽蚀气泡破裂产生的水力激励。周期性机械故障通常在频谱中表现为转频及其倍频增强；冲击类故障往往使时域波形出现尖峰，并使峭度、峰值因子和包络谱低频调制特征发生变化；水力故障则更容易表现为宽频随机能量变化。</w:t>
      </w:r>
    </w:p>
    <w:p w14:paraId="2A13F9EF">
      <w:pPr>
        <w:ind w:firstLine="480" w:firstLineChars="200"/>
        <w:rPr>
          <w:sz w:val="24"/>
          <w:szCs w:val="24"/>
        </w:rPr>
      </w:pPr>
      <w:r>
        <w:rPr>
          <w:rFonts w:ascii="宋体" w:hAnsi="宋体" w:eastAsia="宋体"/>
          <w:sz w:val="24"/>
          <w:szCs w:val="24"/>
        </w:rPr>
        <w:t>水泵振动信号具有多源耦合特点，同一种故障可能影响多个特征，不同故障也可能产生相似的振动表现。例如，不平衡和不对中都可能使 1X 转频幅值增大，松动和轴承故障都可能产生冲击和高频响应。因此，仅依靠单一特征进行判断容易出现误判，本文采用多维振动特征和机器学习模型相结合的方法，目的在于综合利用不同特征对故障状态的表征能力。</w:t>
      </w:r>
    </w:p>
    <w:p w14:paraId="7FD9F66B">
      <w:pPr>
        <w:pStyle w:val="4"/>
      </w:pPr>
      <w:r>
        <w:rPr>
          <w:rFonts w:ascii="宋体" w:hAnsi="宋体" w:eastAsia="宋体"/>
          <w:sz w:val="22"/>
        </w:rPr>
        <w:t xml:space="preserve">2.2 </w:t>
      </w:r>
      <w:r>
        <w:rPr>
          <w:rFonts w:hint="eastAsia" w:ascii="宋体" w:hAnsi="宋体" w:eastAsia="宋体"/>
          <w:sz w:val="22"/>
          <w:lang w:val="en-US" w:eastAsia="zh-CN"/>
        </w:rPr>
        <w:t>转子</w:t>
      </w:r>
      <w:r>
        <w:rPr>
          <w:rFonts w:ascii="宋体" w:hAnsi="宋体" w:eastAsia="宋体"/>
          <w:sz w:val="22"/>
        </w:rPr>
        <w:t>不平衡故障机理及振动特征</w:t>
      </w:r>
    </w:p>
    <w:p w14:paraId="0FAA0973">
      <w:pPr>
        <w:ind w:firstLine="480" w:firstLineChars="200"/>
        <w:rPr>
          <w:sz w:val="24"/>
          <w:szCs w:val="24"/>
        </w:rPr>
      </w:pPr>
      <w:r>
        <w:rPr>
          <w:rFonts w:hint="eastAsia"/>
          <w:sz w:val="24"/>
          <w:szCs w:val="24"/>
          <w:lang w:val="en-US" w:eastAsia="zh-CN"/>
        </w:rPr>
        <w:t>转子</w:t>
      </w:r>
      <w:r>
        <w:rPr>
          <w:rFonts w:ascii="宋体" w:hAnsi="宋体" w:eastAsia="宋体"/>
          <w:sz w:val="24"/>
          <w:szCs w:val="24"/>
        </w:rPr>
        <w:t>不平衡是旋转机械中常见的轴系故障之一，通常由转子质量分布不均、叶轮磨损、叶轮附着物不均、装配偏心或转子局部变形等因素引起。当转子质量中心与旋转中心不重合时，转子旋转过程中会产生随转速周期变化的离心力。该离心力作用于轴承和支承结构，使机组产生明显的周期性振动。对于水泵而言，叶轮长期运行后可能出现磨损、腐蚀或介质沉积，这些因素都会改变转子质量分布，从而诱发不平衡振动。</w:t>
      </w:r>
    </w:p>
    <w:p w14:paraId="4BF6B4B8">
      <w:pPr>
        <w:ind w:firstLine="480" w:firstLineChars="200"/>
        <w:rPr>
          <w:sz w:val="24"/>
          <w:szCs w:val="24"/>
        </w:rPr>
      </w:pPr>
      <w:r>
        <w:rPr>
          <w:rFonts w:hint="eastAsia"/>
          <w:sz w:val="24"/>
          <w:szCs w:val="24"/>
          <w:lang w:val="en-US" w:eastAsia="zh-CN"/>
        </w:rPr>
        <w:t>转子</w:t>
      </w:r>
      <w:r>
        <w:rPr>
          <w:rFonts w:ascii="宋体" w:hAnsi="宋体" w:eastAsia="宋体"/>
          <w:sz w:val="24"/>
          <w:szCs w:val="24"/>
        </w:rPr>
        <w:t>不平衡故障最典型的频域表现是 1X 转频成分增强，即与转子旋转频率相同的谱线幅值明显升高。由于激励具有较强周期性，时域波形通常呈现较稳定的周期变化，整体振动有效值也可能随不平衡程度增加而增大。在轻微不平衡情况下，频谱中可能主要表现为 1X 成分突出；当不平衡与支承松动、基础刚度不足等问题共同存在时，也可能出现低频能量上升和少量倍频成分。</w:t>
      </w:r>
    </w:p>
    <w:p w14:paraId="5D33C304">
      <w:pPr>
        <w:ind w:firstLine="480" w:firstLineChars="200"/>
        <w:rPr>
          <w:sz w:val="24"/>
          <w:szCs w:val="24"/>
        </w:rPr>
      </w:pPr>
      <w:r>
        <w:rPr>
          <w:rFonts w:ascii="宋体" w:hAnsi="宋体" w:eastAsia="宋体"/>
          <w:sz w:val="24"/>
          <w:szCs w:val="24"/>
        </w:rPr>
        <w:t>因此，在后续特征提取中，本文将 1X 幅值、1X 邻域能量、低频能量和 RMS 等作为识别不平衡类故障的重要特征。其中，1X 幅值直接反映转频处振动强度，1X 邻域能量能够降低转速波动或谱线偏移带来的影响，RMS 和低频能量则用于描述整体振动强度变化。这些特征与</w:t>
      </w:r>
      <w:r>
        <w:rPr>
          <w:rFonts w:hint="eastAsia"/>
          <w:sz w:val="24"/>
          <w:szCs w:val="24"/>
          <w:lang w:val="en-US" w:eastAsia="zh-CN"/>
        </w:rPr>
        <w:t>转子</w:t>
      </w:r>
      <w:r>
        <w:rPr>
          <w:rFonts w:ascii="宋体" w:hAnsi="宋体" w:eastAsia="宋体"/>
          <w:sz w:val="24"/>
          <w:szCs w:val="24"/>
        </w:rPr>
        <w:t>不平衡故障的物理机理具有较明确的对应关系。</w:t>
      </w:r>
    </w:p>
    <w:p w14:paraId="5C172424">
      <w:pPr>
        <w:pStyle w:val="4"/>
      </w:pPr>
      <w:r>
        <w:rPr>
          <w:rFonts w:ascii="宋体" w:hAnsi="宋体" w:eastAsia="宋体"/>
          <w:sz w:val="22"/>
        </w:rPr>
        <w:t xml:space="preserve">2.3 </w:t>
      </w:r>
      <w:r>
        <w:rPr>
          <w:rFonts w:hint="eastAsia" w:ascii="宋体" w:hAnsi="宋体" w:eastAsia="宋体"/>
          <w:sz w:val="22"/>
          <w:lang w:val="en-US" w:eastAsia="zh-CN"/>
        </w:rPr>
        <w:t>联轴器</w:t>
      </w:r>
      <w:r>
        <w:rPr>
          <w:rFonts w:ascii="宋体" w:hAnsi="宋体" w:eastAsia="宋体"/>
          <w:sz w:val="22"/>
        </w:rPr>
        <w:t>不对中故障机理及振动特征</w:t>
      </w:r>
    </w:p>
    <w:p w14:paraId="431402CA">
      <w:pPr>
        <w:pStyle w:val="30"/>
        <w:keepNext w:val="0"/>
        <w:keepLines w:val="0"/>
        <w:widowControl/>
        <w:suppressLineNumbers w:val="0"/>
        <w:spacing w:before="0" w:beforeAutospacing="1" w:after="0" w:afterAutospacing="1"/>
        <w:ind w:left="0" w:right="0" w:firstLine="480" w:firstLineChars="200"/>
        <w:rPr>
          <w:rFonts w:hint="default" w:ascii="宋体" w:hAnsi="宋体" w:eastAsia="宋体"/>
          <w:sz w:val="24"/>
          <w:szCs w:val="24"/>
          <w:lang w:val="en-US" w:eastAsia="zh-CN"/>
        </w:rPr>
      </w:pPr>
      <w:r>
        <w:rPr>
          <w:rFonts w:hint="eastAsia"/>
          <w:sz w:val="24"/>
          <w:szCs w:val="24"/>
          <w:lang w:val="en-US" w:eastAsia="zh-CN"/>
        </w:rPr>
        <w:t>联轴器</w:t>
      </w:r>
      <w:r>
        <w:rPr>
          <w:rFonts w:ascii="宋体" w:hAnsi="宋体" w:eastAsia="宋体"/>
          <w:sz w:val="24"/>
          <w:szCs w:val="24"/>
        </w:rPr>
        <w:t>不对中主要指电机轴线与泵轴轴线在安装或运行过程中不能保持理想重合，包括平行不对中、角向不对中和</w:t>
      </w:r>
      <w:r>
        <w:rPr>
          <w:rFonts w:hint="eastAsia"/>
          <w:sz w:val="24"/>
          <w:szCs w:val="24"/>
          <w:lang w:val="en-US" w:eastAsia="zh-CN"/>
        </w:rPr>
        <w:t>综合</w:t>
      </w:r>
      <w:r>
        <w:rPr>
          <w:rFonts w:ascii="宋体" w:hAnsi="宋体" w:eastAsia="宋体"/>
          <w:sz w:val="24"/>
          <w:szCs w:val="24"/>
        </w:rPr>
        <w:t>不对中等形式。平行不对中表现为两轴中心线相互平行但存在偏移，角向不对中表现为两轴中心线存在夹角，</w:t>
      </w:r>
      <w:r>
        <w:rPr>
          <w:rFonts w:hint="eastAsia"/>
          <w:sz w:val="24"/>
          <w:szCs w:val="24"/>
          <w:lang w:val="en-US" w:eastAsia="zh-CN"/>
        </w:rPr>
        <w:t>综合</w:t>
      </w:r>
      <w:r>
        <w:rPr>
          <w:rFonts w:ascii="宋体" w:hAnsi="宋体" w:eastAsia="宋体"/>
          <w:sz w:val="24"/>
          <w:szCs w:val="24"/>
        </w:rPr>
        <w:t>不对中则同时包含平行偏移和角度偏差。水泵机组安装精度不足、基础沉降、联轴器装配误差和长期运行后的支承变形都可能导致不对中。</w:t>
      </w:r>
      <w:r>
        <w:rPr>
          <w:rFonts w:hint="eastAsia"/>
          <w:sz w:val="24"/>
          <w:szCs w:val="24"/>
          <w:lang w:val="en-US" w:eastAsia="zh-CN"/>
        </w:rPr>
        <w:t>三种类型示意图如下，其中</w:t>
      </w:r>
      <w:r>
        <w:rPr>
          <w:sz w:val="24"/>
          <w:szCs w:val="24"/>
        </w:rPr>
        <w:t>Δr 表示径向偏移量，Δθ表示角度偏差。</w:t>
      </w:r>
    </w:p>
    <w:p w14:paraId="74EC8500">
      <w:pPr>
        <w:ind w:firstLine="480" w:firstLineChars="200"/>
        <w:jc w:val="cente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3937000" cy="2312670"/>
            <wp:effectExtent l="0" t="0" r="0" b="24130"/>
            <wp:docPr id="6" name="图片 6" descr="截屏2026-06-16 16.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6-16 16.42.58"/>
                    <pic:cNvPicPr>
                      <a:picLocks noChangeAspect="1"/>
                    </pic:cNvPicPr>
                  </pic:nvPicPr>
                  <pic:blipFill>
                    <a:blip r:embed="rId6"/>
                    <a:srcRect b="9886"/>
                    <a:stretch>
                      <a:fillRect/>
                    </a:stretch>
                  </pic:blipFill>
                  <pic:spPr>
                    <a:xfrm>
                      <a:off x="0" y="0"/>
                      <a:ext cx="3937000" cy="2312670"/>
                    </a:xfrm>
                    <a:prstGeom prst="rect">
                      <a:avLst/>
                    </a:prstGeom>
                  </pic:spPr>
                </pic:pic>
              </a:graphicData>
            </a:graphic>
          </wp:inline>
        </w:drawing>
      </w:r>
    </w:p>
    <w:p w14:paraId="1350043F">
      <w:pPr>
        <w:ind w:firstLine="480" w:firstLineChars="200"/>
        <w:rPr>
          <w:sz w:val="24"/>
          <w:szCs w:val="24"/>
        </w:rPr>
      </w:pPr>
      <w:r>
        <w:rPr>
          <w:rFonts w:hint="eastAsia"/>
          <w:sz w:val="24"/>
          <w:szCs w:val="24"/>
          <w:lang w:val="en-US" w:eastAsia="zh-CN"/>
        </w:rPr>
        <w:t>联轴器</w:t>
      </w:r>
      <w:r>
        <w:rPr>
          <w:rFonts w:ascii="宋体" w:hAnsi="宋体" w:eastAsia="宋体"/>
          <w:sz w:val="24"/>
          <w:szCs w:val="24"/>
        </w:rPr>
        <w:t>不对中会使联轴器、轴承和轴系承受周期性附加载荷，使转子系统受力状态发生变化。与</w:t>
      </w:r>
      <w:r>
        <w:rPr>
          <w:rFonts w:hint="eastAsia"/>
          <w:sz w:val="24"/>
          <w:szCs w:val="24"/>
          <w:lang w:val="en-US" w:eastAsia="zh-CN"/>
        </w:rPr>
        <w:t>转子</w:t>
      </w:r>
      <w:r>
        <w:rPr>
          <w:rFonts w:ascii="宋体" w:hAnsi="宋体" w:eastAsia="宋体"/>
          <w:sz w:val="24"/>
          <w:szCs w:val="24"/>
        </w:rPr>
        <w:t>不平衡相比，不对中不仅可能引起 1X 转频增强，还常伴随 2X 及更高倍频成分增大，严重时可能出现轴向振动增加和波形畸变。由于不对中引起的力矩和附加载荷具有一定非线性，频谱中倍频成分通常比单纯不平衡更加明显。</w:t>
      </w:r>
    </w:p>
    <w:p w14:paraId="4B30770F">
      <w:pPr>
        <w:ind w:firstLine="480" w:firstLineChars="200"/>
        <w:rPr>
          <w:sz w:val="24"/>
          <w:szCs w:val="24"/>
        </w:rPr>
      </w:pPr>
      <w:r>
        <w:rPr>
          <w:rFonts w:ascii="宋体" w:hAnsi="宋体" w:eastAsia="宋体"/>
          <w:sz w:val="24"/>
          <w:szCs w:val="24"/>
        </w:rPr>
        <w:t>针对</w:t>
      </w:r>
      <w:r>
        <w:rPr>
          <w:rFonts w:hint="eastAsia"/>
          <w:sz w:val="24"/>
          <w:szCs w:val="24"/>
          <w:lang w:val="en-US" w:eastAsia="zh-CN"/>
        </w:rPr>
        <w:t>联轴器</w:t>
      </w:r>
      <w:r>
        <w:rPr>
          <w:rFonts w:ascii="宋体" w:hAnsi="宋体" w:eastAsia="宋体"/>
          <w:sz w:val="24"/>
          <w:szCs w:val="24"/>
        </w:rPr>
        <w:t>不对中故障，本文重点提取 2X 幅值、2X 邻域能量、1X 幅值和倍频相关特征。2X 成分能够较好反映联轴器和轴系附加载荷变化，1X 和 2X 的组合则有助于区分不对中与不平衡。需要注意的是，在实际数据中，不平衡和不对中可能同时造成低频转频成分增强，因此二者在模型分类中可能存在少量混淆。后续实验章节将结合混淆矩阵对此进行分析。</w:t>
      </w:r>
    </w:p>
    <w:p w14:paraId="063C527E">
      <w:pPr>
        <w:pStyle w:val="4"/>
      </w:pPr>
      <w:r>
        <w:rPr>
          <w:rFonts w:ascii="宋体" w:hAnsi="宋体" w:eastAsia="宋体"/>
          <w:sz w:val="22"/>
        </w:rPr>
        <w:t>2.4 松动故障机理及振动特征</w:t>
      </w:r>
    </w:p>
    <w:p w14:paraId="21CA2E37">
      <w:pPr>
        <w:ind w:firstLine="480" w:firstLineChars="200"/>
        <w:rPr>
          <w:sz w:val="24"/>
          <w:szCs w:val="24"/>
        </w:rPr>
      </w:pPr>
      <w:r>
        <w:rPr>
          <w:rFonts w:ascii="宋体" w:hAnsi="宋体" w:eastAsia="宋体"/>
          <w:sz w:val="24"/>
          <w:szCs w:val="24"/>
        </w:rPr>
        <w:t>松动故障主要由地脚螺栓松动、基础连接刚度下降、支承间隙增大、软脚或部件装配不良等因素引起。正常情况下，水泵机组通过基础和紧固件保持稳定支承，转子激励能够通过结构传递并被支承系统约束。当连接部位松动后，系统刚度和阻尼发生变化，机组运行中可能出现间隙碰撞、摩擦接触和支承状态周期性变化，导致振动响应呈现明显非线性。</w:t>
      </w:r>
    </w:p>
    <w:p w14:paraId="423C9DA6">
      <w:pPr>
        <w:ind w:firstLine="480" w:firstLineChars="200"/>
        <w:rPr>
          <w:sz w:val="24"/>
          <w:szCs w:val="24"/>
        </w:rPr>
      </w:pPr>
      <w:r>
        <w:rPr>
          <w:rFonts w:ascii="宋体" w:hAnsi="宋体" w:eastAsia="宋体"/>
          <w:sz w:val="24"/>
          <w:szCs w:val="24"/>
        </w:rPr>
        <w:t>松动故障的振动表现通常比不平衡和不对中更加复杂。时域波形可能出现冲击、削顶、突变或不稳定波动，频域中除转频外还可能出现多倍频和宽频成分。由于松动会造成局部碰撞和间隙冲击，峭度、峰值因子和脉冲因子等冲击敏感指标可能升高。同时，3X 及其邻域能量也可作为描述多倍频增强的辅助特征。</w:t>
      </w:r>
    </w:p>
    <w:p w14:paraId="4D386CE3">
      <w:pPr>
        <w:ind w:firstLine="480" w:firstLineChars="200"/>
        <w:rPr>
          <w:sz w:val="24"/>
          <w:szCs w:val="24"/>
        </w:rPr>
      </w:pPr>
      <w:r>
        <w:t>本文在候选特征阶段提取峭度、峰值因子、脉冲因子、3X 幅值和 3X 邻域能量，用于描述松动故障的冲击性和多倍频特征。经训练集特征筛选后，3X 相关特征进入最终特征集合，而部分时域冲击指标未被保留。由于松动与轴承故障都可能产生冲击和高频响应，二者在部分特征空间中可能相互接近。因此，在模型评价时不能只关注总体准确率，还需要通过混淆矩阵观察松动类与轴承故障类之间的误判情况。</w:t>
      </w:r>
    </w:p>
    <w:p w14:paraId="2F3D64BA">
      <w:pPr>
        <w:pStyle w:val="4"/>
      </w:pPr>
      <w:r>
        <w:rPr>
          <w:rFonts w:ascii="宋体" w:hAnsi="宋体" w:eastAsia="宋体"/>
          <w:sz w:val="22"/>
        </w:rPr>
        <w:t>2.5 轴承故障机理及振动特征</w:t>
      </w:r>
    </w:p>
    <w:p w14:paraId="6AB96000">
      <w:pPr>
        <w:ind w:firstLine="480" w:firstLineChars="200"/>
        <w:rPr>
          <w:sz w:val="24"/>
          <w:szCs w:val="24"/>
        </w:rPr>
      </w:pPr>
      <w:r>
        <w:rPr>
          <w:rFonts w:ascii="宋体" w:hAnsi="宋体" w:eastAsia="宋体"/>
          <w:sz w:val="24"/>
          <w:szCs w:val="24"/>
        </w:rPr>
        <w:t>轴承是水泵机组中承担转子支承和载荷传递的重要部件，其运行状态直接影响机组稳定性。轴承故障可能发生在内圈、外圈、滚动体或保持架，也可能由润滑不足、污染、磨损、疲劳剥落等原因引起。当滚动体经过局部损伤区域时，会产生周期性冲击，该冲击激发轴承和结构的高频响应，并通过载荷调制表现为包络谱中的特征成分。</w:t>
      </w:r>
    </w:p>
    <w:p w14:paraId="4F9DD191">
      <w:pPr>
        <w:ind w:firstLine="480" w:firstLineChars="200"/>
        <w:rPr>
          <w:sz w:val="24"/>
          <w:szCs w:val="24"/>
        </w:rPr>
      </w:pPr>
      <w:r>
        <w:rPr>
          <w:rFonts w:ascii="宋体" w:hAnsi="宋体" w:eastAsia="宋体"/>
          <w:sz w:val="24"/>
          <w:szCs w:val="24"/>
        </w:rPr>
        <w:t>轴承故障的时域表现通常包括冲击峰值增大、波形尖锐程度提高和随机性增强。频域中，高频区域能量可能上升，但在普通频谱中，故障冲击对应的周期成分有时会被结构共振和噪声掩盖。包络分析通过 Hilbert 变换提取高频振动的幅值调制信息，能够突出冲击重复频率及其相关能量，因此适合用于轴承故障和其他冲击类故障分析。</w:t>
      </w:r>
    </w:p>
    <w:p w14:paraId="78D61AFD">
      <w:pPr>
        <w:ind w:firstLine="480" w:firstLineChars="200"/>
        <w:rPr>
          <w:sz w:val="24"/>
          <w:szCs w:val="24"/>
        </w:rPr>
      </w:pPr>
      <w:r>
        <w:t>本文将时域冲击统计量、频带能量占比、小波包能量占比和包络谱低频调制特征作为轴承故障识别的重要特征。具体而言，3000-8000 Hz 仅作为包络解调前的高频共振候选频带；随后采用 Hilbert 变换提取包络，并在包络谱低频范围内分析能量占比、倍频邻域能量和冲击形态特征。这样既保留了轴承冲击激发高频共振的物理含义，又使解调前滤波频带与解调后低频调制特征的含义保持清晰。</w:t>
      </w:r>
    </w:p>
    <w:p w14:paraId="0882089A">
      <w:pPr>
        <w:pStyle w:val="4"/>
      </w:pPr>
      <w:r>
        <w:rPr>
          <w:rFonts w:ascii="宋体" w:hAnsi="宋体" w:eastAsia="宋体"/>
          <w:sz w:val="22"/>
        </w:rPr>
        <w:t>2.6 汽蚀故障机理及振动特征</w:t>
      </w:r>
    </w:p>
    <w:p w14:paraId="2964F5E2">
      <w:pPr>
        <w:ind w:firstLine="480" w:firstLineChars="200"/>
        <w:rPr>
          <w:sz w:val="24"/>
          <w:szCs w:val="24"/>
        </w:rPr>
      </w:pPr>
      <w:r>
        <w:rPr>
          <w:rFonts w:ascii="宋体" w:hAnsi="宋体" w:eastAsia="宋体"/>
          <w:sz w:val="24"/>
          <w:szCs w:val="24"/>
        </w:rPr>
        <w:t>汽蚀是水泵运行中具有代表性的水力故障。当泵入口压力低于液体在当前温度下的饱和蒸汽压时，液体内部会产生气泡；气泡随流体进入高压区域后迅速破裂，形成局部冲击和压力脉动。汽蚀不仅会引起振动和噪声增加，还可能造成叶轮表面剥蚀、效率下降和运行稳定性降低。与轴系机械故障相比，汽蚀具有更强的随机性和流体耦合特征。</w:t>
      </w:r>
    </w:p>
    <w:p w14:paraId="75727F99">
      <w:pPr>
        <w:ind w:firstLine="480" w:firstLineChars="200"/>
        <w:rPr>
          <w:sz w:val="24"/>
          <w:szCs w:val="24"/>
        </w:rPr>
      </w:pPr>
      <w:r>
        <w:t>汽蚀振动信号不一定表现为稳定的转频或倍频成分，而更常表现为宽频能量增强、波形随机性提高和局部冲击增加。气泡产生和破裂位置具有不确定性，导致振动能量在较宽频段内分布。对于汽蚀类故障，仅依靠 1X 或 2X 等倍频特征往往不足，需要结合 RMS、频带能量占比、小波包能量占比和包络谱低频调制特征进行综合判断。</w:t>
      </w:r>
    </w:p>
    <w:p w14:paraId="56BD4EF5">
      <w:pPr>
        <w:pStyle w:val="4"/>
      </w:pPr>
      <w:r>
        <w:rPr>
          <w:rFonts w:ascii="宋体" w:hAnsi="宋体" w:eastAsia="宋体"/>
          <w:sz w:val="22"/>
        </w:rPr>
        <w:t>2.7 故障机理与特征对应关系</w:t>
      </w:r>
    </w:p>
    <w:p w14:paraId="3C27D627">
      <w:pPr>
        <w:ind w:firstLine="480" w:firstLineChars="200"/>
        <w:rPr>
          <w:sz w:val="24"/>
          <w:szCs w:val="24"/>
        </w:rPr>
      </w:pPr>
      <w:r>
        <w:t>综合以上分析，不同水泵故障在振动信号中的表现具有一定规律性。转子不平衡更依赖 1X 转频及低频能量，联轴器不对中与 2X 及倍频成分关系较密切，松动和轴承故障均可能表现为冲击和非平稳响应，汽蚀则以宽频随机能量和局部冲击特征为主。本文首先选取 3000-8000 Hz 高频共振候选频带进行带通滤波，随后采用 Hilbert 变换提取包络，并在包络谱低频范围内提取能量占比、倍频邻域能量及冲击统计特征。表 2-1 总结了本文关注的主要故障类别、典型振动表现和后续特征提取重点。</w:t>
      </w:r>
    </w:p>
    <w:p w14:paraId="73775BB1">
      <w:pPr>
        <w:jc w:val="center"/>
        <w:rPr>
          <w:sz w:val="24"/>
          <w:szCs w:val="24"/>
        </w:rPr>
      </w:pPr>
      <w:r>
        <w:rPr>
          <w:rFonts w:ascii="宋体" w:hAnsi="宋体" w:eastAsia="宋体"/>
          <w:b/>
          <w:sz w:val="24"/>
          <w:szCs w:val="24"/>
        </w:rPr>
        <w:t>表 2-1 故障类别、典型振动表现与重点特征对应关系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638A93F3">
        <w:trPr>
          <w:jc w:val="center"/>
        </w:trPr>
        <w:tc>
          <w:tcPr>
            <w:tcW w:w="3043" w:type="dxa"/>
            <w:shd w:val="clear" w:color="auto" w:fill="E8EEF5"/>
            <w:tcMar>
              <w:top w:w="80" w:type="dxa"/>
              <w:left w:w="120" w:type="dxa"/>
              <w:bottom w:w="80" w:type="dxa"/>
              <w:right w:w="120" w:type="dxa"/>
            </w:tcMar>
            <w:vAlign w:val="center"/>
          </w:tcPr>
          <w:p w14:paraId="2161050D">
            <w:r>
              <w:t>故障类别</w:t>
            </w:r>
          </w:p>
        </w:tc>
        <w:tc>
          <w:tcPr>
            <w:tcW w:w="3043" w:type="dxa"/>
            <w:shd w:val="clear" w:color="auto" w:fill="E8EEF5"/>
            <w:tcMar>
              <w:top w:w="80" w:type="dxa"/>
              <w:left w:w="120" w:type="dxa"/>
              <w:bottom w:w="80" w:type="dxa"/>
              <w:right w:w="120" w:type="dxa"/>
            </w:tcMar>
            <w:vAlign w:val="center"/>
          </w:tcPr>
          <w:p w14:paraId="05823300">
            <w:r>
              <w:t>典型振动表现</w:t>
            </w:r>
          </w:p>
        </w:tc>
        <w:tc>
          <w:tcPr>
            <w:tcW w:w="3043" w:type="dxa"/>
            <w:shd w:val="clear" w:color="auto" w:fill="E8EEF5"/>
            <w:tcMar>
              <w:top w:w="80" w:type="dxa"/>
              <w:left w:w="120" w:type="dxa"/>
              <w:bottom w:w="80" w:type="dxa"/>
              <w:right w:w="120" w:type="dxa"/>
            </w:tcMar>
            <w:vAlign w:val="center"/>
          </w:tcPr>
          <w:p w14:paraId="7A2B3ABF">
            <w:r>
              <w:t>重点特征</w:t>
            </w:r>
          </w:p>
        </w:tc>
      </w:tr>
      <w:tr w14:paraId="13226A1D">
        <w:trPr>
          <w:jc w:val="center"/>
        </w:trPr>
        <w:tc>
          <w:tcPr>
            <w:tcW w:w="3043" w:type="dxa"/>
            <w:tcMar>
              <w:top w:w="80" w:type="dxa"/>
              <w:left w:w="120" w:type="dxa"/>
              <w:bottom w:w="80" w:type="dxa"/>
              <w:right w:w="120" w:type="dxa"/>
            </w:tcMar>
            <w:vAlign w:val="center"/>
          </w:tcPr>
          <w:p w14:paraId="6DEE1140">
            <w:r>
              <w:t>正常</w:t>
            </w:r>
          </w:p>
        </w:tc>
        <w:tc>
          <w:tcPr>
            <w:tcW w:w="3043" w:type="dxa"/>
            <w:tcMar>
              <w:top w:w="80" w:type="dxa"/>
              <w:left w:w="120" w:type="dxa"/>
              <w:bottom w:w="80" w:type="dxa"/>
              <w:right w:w="120" w:type="dxa"/>
            </w:tcMar>
            <w:vAlign w:val="center"/>
          </w:tcPr>
          <w:p w14:paraId="0318CDE0">
            <w:r>
              <w:t>幅值和频带能量分布相对稳定</w:t>
            </w:r>
          </w:p>
        </w:tc>
        <w:tc>
          <w:tcPr>
            <w:tcW w:w="3043" w:type="dxa"/>
            <w:tcMar>
              <w:top w:w="80" w:type="dxa"/>
              <w:left w:w="120" w:type="dxa"/>
              <w:bottom w:w="80" w:type="dxa"/>
              <w:right w:w="120" w:type="dxa"/>
            </w:tcMar>
            <w:vAlign w:val="center"/>
          </w:tcPr>
          <w:p w14:paraId="22525D28">
            <w:r>
              <w:t>RMS、低/中/高频能量占比</w:t>
            </w:r>
          </w:p>
        </w:tc>
      </w:tr>
      <w:tr w14:paraId="7AAAB3DB">
        <w:trPr>
          <w:jc w:val="center"/>
        </w:trPr>
        <w:tc>
          <w:tcPr>
            <w:tcW w:w="3043" w:type="dxa"/>
            <w:tcMar>
              <w:top w:w="80" w:type="dxa"/>
              <w:left w:w="120" w:type="dxa"/>
              <w:bottom w:w="80" w:type="dxa"/>
              <w:right w:w="120" w:type="dxa"/>
            </w:tcMar>
            <w:vAlign w:val="center"/>
          </w:tcPr>
          <w:p w14:paraId="5D66F426">
            <w:r>
              <w:rPr>
                <w:rFonts w:hint="eastAsia"/>
                <w:lang w:val="en-US" w:eastAsia="zh-CN"/>
              </w:rPr>
              <w:t>转子</w:t>
            </w:r>
            <w:r>
              <w:t>不平衡</w:t>
            </w:r>
          </w:p>
        </w:tc>
        <w:tc>
          <w:tcPr>
            <w:tcW w:w="3043" w:type="dxa"/>
            <w:tcMar>
              <w:top w:w="80" w:type="dxa"/>
              <w:left w:w="120" w:type="dxa"/>
              <w:bottom w:w="80" w:type="dxa"/>
              <w:right w:w="120" w:type="dxa"/>
            </w:tcMar>
            <w:vAlign w:val="center"/>
          </w:tcPr>
          <w:p w14:paraId="3435BDE6">
            <w:r>
              <w:t>周期性径向振动增强，1X 转频突出</w:t>
            </w:r>
          </w:p>
        </w:tc>
        <w:tc>
          <w:tcPr>
            <w:tcW w:w="3043" w:type="dxa"/>
            <w:tcMar>
              <w:top w:w="80" w:type="dxa"/>
              <w:left w:w="120" w:type="dxa"/>
              <w:bottom w:w="80" w:type="dxa"/>
              <w:right w:w="120" w:type="dxa"/>
            </w:tcMar>
            <w:vAlign w:val="center"/>
          </w:tcPr>
          <w:p w14:paraId="741AB655">
            <w:r>
              <w:t>1X 幅值、1X 邻域能量、低频能量占比</w:t>
            </w:r>
          </w:p>
        </w:tc>
      </w:tr>
      <w:tr w14:paraId="4D02A92C">
        <w:trPr>
          <w:jc w:val="center"/>
        </w:trPr>
        <w:tc>
          <w:tcPr>
            <w:tcW w:w="3043" w:type="dxa"/>
            <w:tcMar>
              <w:top w:w="80" w:type="dxa"/>
              <w:left w:w="120" w:type="dxa"/>
              <w:bottom w:w="80" w:type="dxa"/>
              <w:right w:w="120" w:type="dxa"/>
            </w:tcMar>
            <w:vAlign w:val="center"/>
          </w:tcPr>
          <w:p w14:paraId="530B74EF">
            <w:r>
              <w:rPr>
                <w:rFonts w:hint="eastAsia"/>
                <w:lang w:val="en-US" w:eastAsia="zh-CN"/>
              </w:rPr>
              <w:t>联轴器</w:t>
            </w:r>
            <w:r>
              <w:t>不对中</w:t>
            </w:r>
          </w:p>
        </w:tc>
        <w:tc>
          <w:tcPr>
            <w:tcW w:w="3043" w:type="dxa"/>
            <w:tcMar>
              <w:top w:w="80" w:type="dxa"/>
              <w:left w:w="120" w:type="dxa"/>
              <w:bottom w:w="80" w:type="dxa"/>
              <w:right w:w="120" w:type="dxa"/>
            </w:tcMar>
            <w:vAlign w:val="center"/>
          </w:tcPr>
          <w:p w14:paraId="7117DD9D">
            <w:r>
              <w:t>1X、2X 及倍频增强，波形可能畸变</w:t>
            </w:r>
          </w:p>
        </w:tc>
        <w:tc>
          <w:tcPr>
            <w:tcW w:w="3043" w:type="dxa"/>
            <w:tcMar>
              <w:top w:w="80" w:type="dxa"/>
              <w:left w:w="120" w:type="dxa"/>
              <w:bottom w:w="80" w:type="dxa"/>
              <w:right w:w="120" w:type="dxa"/>
            </w:tcMar>
            <w:vAlign w:val="center"/>
          </w:tcPr>
          <w:p w14:paraId="12EE85DF">
            <w:r>
              <w:t>2X/3X 幅值、倍频邻域能量、频谱重心</w:t>
            </w:r>
          </w:p>
        </w:tc>
      </w:tr>
      <w:tr w14:paraId="6D6C6858">
        <w:trPr>
          <w:jc w:val="center"/>
        </w:trPr>
        <w:tc>
          <w:tcPr>
            <w:tcW w:w="3043" w:type="dxa"/>
            <w:tcMar>
              <w:top w:w="80" w:type="dxa"/>
              <w:left w:w="120" w:type="dxa"/>
              <w:bottom w:w="80" w:type="dxa"/>
              <w:right w:w="120" w:type="dxa"/>
            </w:tcMar>
            <w:vAlign w:val="center"/>
          </w:tcPr>
          <w:p w14:paraId="0937E9DD">
            <w:r>
              <w:t>松动</w:t>
            </w:r>
          </w:p>
        </w:tc>
        <w:tc>
          <w:tcPr>
            <w:tcW w:w="3043" w:type="dxa"/>
            <w:tcMar>
              <w:top w:w="80" w:type="dxa"/>
              <w:left w:w="120" w:type="dxa"/>
              <w:bottom w:w="80" w:type="dxa"/>
              <w:right w:w="120" w:type="dxa"/>
            </w:tcMar>
            <w:vAlign w:val="center"/>
          </w:tcPr>
          <w:p w14:paraId="7A420215">
            <w:r>
              <w:t>冲击、多倍频、波形不稳定</w:t>
            </w:r>
          </w:p>
        </w:tc>
        <w:tc>
          <w:tcPr>
            <w:tcW w:w="3043" w:type="dxa"/>
            <w:tcMar>
              <w:top w:w="80" w:type="dxa"/>
              <w:left w:w="120" w:type="dxa"/>
              <w:bottom w:w="80" w:type="dxa"/>
              <w:right w:w="120" w:type="dxa"/>
            </w:tcMar>
            <w:vAlign w:val="center"/>
          </w:tcPr>
          <w:p w14:paraId="4D3EAD93">
            <w:r>
              <w:t>峭度、峰值因子、脉冲因子、倍频邻域能量</w:t>
            </w:r>
          </w:p>
        </w:tc>
      </w:tr>
      <w:tr w14:paraId="699992D2">
        <w:trPr>
          <w:jc w:val="center"/>
        </w:trPr>
        <w:tc>
          <w:tcPr>
            <w:tcW w:w="3043" w:type="dxa"/>
            <w:tcMar>
              <w:top w:w="80" w:type="dxa"/>
              <w:left w:w="120" w:type="dxa"/>
              <w:bottom w:w="80" w:type="dxa"/>
              <w:right w:w="120" w:type="dxa"/>
            </w:tcMar>
            <w:vAlign w:val="center"/>
          </w:tcPr>
          <w:p w14:paraId="61ACBCA3">
            <w:r>
              <w:t>轴承故障</w:t>
            </w:r>
          </w:p>
        </w:tc>
        <w:tc>
          <w:tcPr>
            <w:tcW w:w="3043" w:type="dxa"/>
            <w:tcMar>
              <w:top w:w="80" w:type="dxa"/>
              <w:left w:w="120" w:type="dxa"/>
              <w:bottom w:w="80" w:type="dxa"/>
              <w:right w:w="120" w:type="dxa"/>
            </w:tcMar>
            <w:vAlign w:val="center"/>
          </w:tcPr>
          <w:p w14:paraId="29912440">
            <w:r>
              <w:t>冲击调制和非平稳频带能量变化明显</w:t>
            </w:r>
          </w:p>
        </w:tc>
        <w:tc>
          <w:tcPr>
            <w:tcW w:w="3043" w:type="dxa"/>
            <w:tcMar>
              <w:top w:w="80" w:type="dxa"/>
              <w:left w:w="120" w:type="dxa"/>
              <w:bottom w:w="80" w:type="dxa"/>
              <w:right w:w="120" w:type="dxa"/>
            </w:tcMar>
            <w:vAlign w:val="center"/>
          </w:tcPr>
          <w:p w14:paraId="60020CC5">
            <w:r>
              <w:t>包络峭度、包络峰值因子、小波包频带占比</w:t>
            </w:r>
          </w:p>
        </w:tc>
      </w:tr>
      <w:tr w14:paraId="3727623B">
        <w:trPr>
          <w:jc w:val="center"/>
        </w:trPr>
        <w:tc>
          <w:tcPr>
            <w:tcW w:w="3043" w:type="dxa"/>
            <w:tcMar>
              <w:top w:w="80" w:type="dxa"/>
              <w:left w:w="120" w:type="dxa"/>
              <w:bottom w:w="80" w:type="dxa"/>
              <w:right w:w="120" w:type="dxa"/>
            </w:tcMar>
            <w:vAlign w:val="center"/>
          </w:tcPr>
          <w:p w14:paraId="1A7B0282">
            <w:r>
              <w:t>汽蚀</w:t>
            </w:r>
          </w:p>
        </w:tc>
        <w:tc>
          <w:tcPr>
            <w:tcW w:w="3043" w:type="dxa"/>
            <w:tcMar>
              <w:top w:w="80" w:type="dxa"/>
              <w:left w:w="120" w:type="dxa"/>
              <w:bottom w:w="80" w:type="dxa"/>
              <w:right w:w="120" w:type="dxa"/>
            </w:tcMar>
            <w:vAlign w:val="center"/>
          </w:tcPr>
          <w:p w14:paraId="1A4FD696">
            <w:r>
              <w:t>宽频能量增强，随机冲击明显</w:t>
            </w:r>
          </w:p>
        </w:tc>
        <w:tc>
          <w:tcPr>
            <w:tcW w:w="3043" w:type="dxa"/>
            <w:tcMar>
              <w:top w:w="80" w:type="dxa"/>
              <w:left w:w="120" w:type="dxa"/>
              <w:bottom w:w="80" w:type="dxa"/>
              <w:right w:w="120" w:type="dxa"/>
            </w:tcMar>
            <w:vAlign w:val="center"/>
          </w:tcPr>
          <w:p w14:paraId="03F10C97">
            <w:r>
              <w:t>RMS、高频能量占比、小波包频带占比、包络谱低频能量占比</w:t>
            </w:r>
          </w:p>
        </w:tc>
      </w:tr>
    </w:tbl>
    <w:p w14:paraId="773E9273">
      <w:pPr>
        <w:ind w:firstLine="480" w:firstLineChars="200"/>
        <w:rPr>
          <w:rFonts w:ascii="宋体" w:hAnsi="宋体" w:eastAsia="宋体"/>
          <w:sz w:val="24"/>
          <w:szCs w:val="24"/>
        </w:rPr>
      </w:pPr>
    </w:p>
    <w:p w14:paraId="3EE4B4B4">
      <w:pPr>
        <w:ind w:firstLine="480" w:firstLineChars="200"/>
        <w:rPr>
          <w:sz w:val="24"/>
          <w:szCs w:val="24"/>
        </w:rPr>
      </w:pPr>
      <w:r>
        <w:rPr>
          <w:rFonts w:ascii="宋体" w:hAnsi="宋体" w:eastAsia="宋体"/>
          <w:sz w:val="24"/>
          <w:szCs w:val="24"/>
        </w:rPr>
        <w:t>上述对应关系是第 3 章特征提取的理论依据。本文后续并非简单堆叠特征，而是围绕故障机理选择具有工程含义的时域、频域、小波包和包络谱特征，使机器学习模型的输入具有可解释性。这样既有利于提高模型识别效果，也便于在第 4 章中结合特征重要性结果解释模型判断依据。</w:t>
      </w:r>
    </w:p>
    <w:p w14:paraId="58CFEA65">
      <w:pPr>
        <w:pStyle w:val="3"/>
      </w:pPr>
      <w:r>
        <w:rPr>
          <w:rFonts w:ascii="宋体" w:hAnsi="宋体" w:eastAsia="宋体"/>
          <w:sz w:val="22"/>
        </w:rPr>
        <w:t>第 3 章 水泵振动信号特征提取与诊断方法</w:t>
      </w:r>
    </w:p>
    <w:p w14:paraId="607488A1">
      <w:pPr>
        <w:ind w:firstLine="480" w:firstLineChars="200"/>
        <w:rPr>
          <w:sz w:val="24"/>
          <w:szCs w:val="24"/>
        </w:rPr>
      </w:pPr>
      <w:r>
        <w:rPr>
          <w:rFonts w:ascii="宋体" w:hAnsi="宋体" w:eastAsia="宋体"/>
          <w:sz w:val="24"/>
          <w:szCs w:val="24"/>
        </w:rPr>
        <w:t>第 2 章从故障机理角度分析了不同水泵故障的振动表现，本章进一步说明原始振动信号如何转化为机器学习模型能够使用的特征样本。整个方法流程包括振动信号预处理、滑动窗口分段、时域特征提取、频域特征提取、小波包能量特征提取、包络谱特征提取、特征标准化以及诊断模型训练与评价。</w:t>
      </w:r>
    </w:p>
    <w:p w14:paraId="0E862B1B">
      <w:pPr>
        <w:pStyle w:val="4"/>
      </w:pPr>
      <w:r>
        <w:rPr>
          <w:rFonts w:ascii="宋体" w:hAnsi="宋体" w:eastAsia="宋体"/>
          <w:sz w:val="22"/>
        </w:rPr>
        <w:t>3.1 振动信号预处理方法</w:t>
      </w:r>
    </w:p>
    <w:p w14:paraId="6BACE818">
      <w:pPr>
        <w:ind w:firstLine="480" w:firstLineChars="200"/>
        <w:rPr>
          <w:sz w:val="24"/>
          <w:szCs w:val="24"/>
        </w:rPr>
      </w:pPr>
      <w:r>
        <w:t>水泵振动信号在采集过程中会受到传感器零点偏置、环境噪声、采集线路干扰和工况波动影响。本文的数据处理流程为：原始信号 -&gt; 去直流分量 -&gt; 10-8000 Hz 带通滤波 -&gt; 4096 点滑动窗口分段 -&gt; 特征提取 -&gt; 训练集/测试集划分 -&gt; 特征标准化。需要说明的是，Z-score 标准化不作用于单个振动窗口，而是作用于特征提取后的特征矩阵；随机森林使用真实幅值特征，BP 神经网络和 SVM 使用训练集统计量完成标准化。</w:t>
      </w:r>
    </w:p>
    <w:p w14:paraId="689E12A8">
      <w:pPr>
        <w:ind w:firstLine="480" w:firstLineChars="200"/>
        <w:rPr>
          <w:rFonts w:hint="eastAsia" w:hAnsi="DejaVu Math TeX Gyre" w:eastAsia="宋体" w:cstheme="minorBidi"/>
          <w:i w:val="0"/>
          <w:sz w:val="24"/>
          <w:szCs w:val="24"/>
          <w:lang w:val="en-US" w:eastAsia="en-US" w:bidi="ar-SA"/>
        </w:rPr>
      </w:pPr>
      <w:r>
        <w:t>（1）去直流分量处理用于消除信号均值偏移。设原始离散振动信号为 x[n]，长度为 N，则均值和去直流后的信号分别为：</w:t>
      </w:r>
    </w:p>
    <w:p w14:paraId="1E7DBC3E">
      <w:pPr>
        <w:ind w:firstLine="480" w:firstLineChars="200"/>
        <w:jc w:val="center"/>
        <w:rPr>
          <w:rFonts w:hint="eastAsia"/>
          <w:sz w:val="24"/>
          <w:szCs w:val="24"/>
          <w:lang w:val="en-US" w:eastAsia="zh-CN"/>
        </w:rPr>
      </w:pPr>
      <m:oMath>
        <m:r>
          <m:rPr/>
          <m:t>x̄ =</m:t>
        </m:r>
        <m:f>
          <m:fPr/>
          <m:num>
            <m:r>
              <m:rPr/>
              <m:t>1</m:t>
            </m:r>
          </m:num>
          <m:den>
            <m:r>
              <m:rPr/>
              <m:t>N</m:t>
            </m:r>
          </m:den>
        </m:f>
        <m:sSubSup>
          <m:sSubSupPr/>
          <m:e>
            <m:r>
              <m:rPr/>
              <m:t>Σ</m:t>
            </m:r>
          </m:e>
          <m:sub>
            <m:r>
              <m:rPr/>
              <m:t>n=0</m:t>
            </m:r>
          </m:sub>
          <m:sup>
            <m:r>
              <m:rPr/>
              <m:t>N−1</m:t>
            </m:r>
          </m:sup>
        </m:sSubSup>
        <m:r>
          <m:rPr/>
          <m:t>x[n]</m:t>
        </m:r>
      </m:oMath>
      <w:r>
        <w:t>（3-1）</w:t>
      </w:r>
    </w:p>
    <w:p w14:paraId="5EF6F6F8">
      <w:pPr>
        <w:ind w:firstLine="480" w:firstLineChars="200"/>
        <w:jc w:val="center"/>
        <w:rPr>
          <w:rFonts w:hint="eastAsia" w:hAnsi="DejaVu Math TeX Gyre" w:cstheme="minorBidi"/>
          <w:i w:val="0"/>
          <w:sz w:val="24"/>
          <w:szCs w:val="24"/>
          <w:lang w:val="en-US" w:eastAsia="zh-CN" w:bidi="ar-SA"/>
        </w:rPr>
      </w:pPr>
      <m:oMath>
        <m:sSub>
          <m:sSubPr/>
          <m:e>
            <m:r>
              <m:rPr/>
              <m:t>x</m:t>
            </m:r>
          </m:e>
          <m:sub>
            <m:r>
              <m:rPr/>
              <m:t>d</m:t>
            </m:r>
          </m:sub>
        </m:sSub>
        <m:r>
          <m:rPr/>
          <m:t>[n] = x[n] − x̄,   n = 0,1,...,N−1</m:t>
        </m:r>
      </m:oMath>
      <w:r>
        <w:t>（3-2）</w:t>
      </w:r>
    </w:p>
    <w:p w14:paraId="0D9D48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tLeast"/>
        <w:ind w:left="363" w:leftChars="0"/>
        <w:textAlignment w:val="auto"/>
        <w:rPr>
          <w:sz w:val="24"/>
          <w:szCs w:val="24"/>
        </w:rPr>
      </w:pPr>
      <w:r>
        <w:t>式中：</w:t>
      </w:r>
      <m:oMath>
        <m:r>
          <m:rPr/>
          <m:t>x[n]</m:t>
        </m:r>
      </m:oMath>
      <w:r>
        <w:t xml:space="preserve"> 为原始离散振动信号；</w:t>
      </w:r>
      <m:oMath>
        <m:r>
          <m:rPr/>
          <m:t>x̄</m:t>
        </m:r>
      </m:oMath>
      <w:r>
        <w:t xml:space="preserve"> 为信号均值；</w:t>
      </w:r>
      <m:oMath>
        <m:sSub>
          <m:sSubPr/>
          <m:e>
            <m:r>
              <m:rPr/>
              <m:t>x</m:t>
            </m:r>
          </m:e>
          <m:sub>
            <m:r>
              <m:rPr/>
              <m:t>d</m:t>
            </m:r>
          </m:sub>
        </m:sSub>
        <m:r>
          <m:rPr/>
          <m:t xml:space="preserve">[n] </m:t>
        </m:r>
      </m:oMath>
      <w:r>
        <w:t>为去直流后的振动信号；N 为采样点数。</w:t>
      </w:r>
    </w:p>
    <w:p w14:paraId="640608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tLeast"/>
        <w:ind w:firstLine="480" w:firstLineChars="200"/>
        <w:textAlignment w:val="auto"/>
        <w:rPr>
          <w:rFonts w:hint="eastAsia" w:eastAsia="宋体"/>
          <w:sz w:val="24"/>
          <w:szCs w:val="24"/>
          <w:lang w:eastAsia="zh-CN"/>
        </w:rPr>
      </w:pPr>
      <w:r>
        <w:t>（2）带通滤波用于保留与水泵机械故障和水力故障相关的主要频率成分。本文采样频率 fs=20000 Hz，Nyquist 频率为 10000 Hz。预处理采用四阶 Butterworth 带通滤波器，通带范围为 10-8000 Hz，并通过 sosfiltfilt 进行零相位双向滤波，以减少相位畸变。10 Hz 以下成分主要包含趋势项和缓慢漂移。综合考虑主要故障频段覆盖和高频端噪声影响，本文将分析上限设为 8000 Hz。滤波过程可表示为：</w:t>
      </w:r>
    </w:p>
    <w:p w14:paraId="2B5E1983">
      <w:pPr>
        <w:numPr>
          <w:ilvl w:val="0"/>
          <w:numId w:val="0"/>
        </w:numPr>
        <w:ind w:firstLine="480" w:firstLineChars="200"/>
        <w:jc w:val="center"/>
        <w:rPr>
          <w:rFonts w:hint="eastAsia"/>
          <w:sz w:val="24"/>
          <w:szCs w:val="24"/>
          <w:lang w:val="en-US" w:eastAsia="zh-CN"/>
        </w:rPr>
      </w:pPr>
      <m:oMath>
        <m:sSub>
          <m:sSubPr/>
          <m:e>
            <m:r>
              <m:rPr/>
              <m:t>x</m:t>
            </m:r>
          </m:e>
          <m:sub>
            <m:r>
              <m:rPr/>
              <m:t>b</m:t>
            </m:r>
          </m:sub>
        </m:sSub>
        <m:r>
          <m:rPr/>
          <m:t>[n] = filtfilt{</m:t>
        </m:r>
        <m:sSub>
          <m:sSubPr/>
          <m:e>
            <m:r>
              <m:rPr/>
              <m:t>B</m:t>
            </m:r>
          </m:e>
          <m:sub>
            <m:r>
              <m:rPr/>
              <m:t>bp</m:t>
            </m:r>
          </m:sub>
        </m:sSub>
        <m:r>
          <m:rPr/>
          <m:t>(10 Hz, 8000 Hz, order=4),</m:t>
        </m:r>
        <m:sSub>
          <m:sSubPr/>
          <m:e>
            <m:r>
              <m:rPr/>
              <m:t>x</m:t>
            </m:r>
          </m:e>
          <m:sub>
            <m:r>
              <m:rPr/>
              <m:t>d</m:t>
            </m:r>
          </m:sub>
        </m:sSub>
        <m:r>
          <m:rPr/>
          <m:t>[n] }</m:t>
        </m:r>
      </m:oMath>
      <w:r>
        <w:t>（3-3）</w:t>
      </w:r>
    </w:p>
    <w:p w14:paraId="6331656F">
      <w:pPr>
        <w:numPr>
          <w:ilvl w:val="0"/>
          <w:numId w:val="0"/>
        </w:numPr>
        <w:rPr>
          <w:rFonts w:hint="eastAsia" w:hAnsi="DejaVu Math TeX Gyre" w:eastAsia="宋体" w:cstheme="minorBidi"/>
          <w:i w:val="0"/>
          <w:sz w:val="24"/>
          <w:szCs w:val="24"/>
          <w:lang w:val="en-US" w:eastAsia="zh-CN" w:bidi="ar-SA"/>
        </w:rPr>
      </w:pPr>
      <w:r>
        <w:t>式中：</w:t>
      </w:r>
      <m:oMath>
        <m:sSub>
          <m:sSubPr/>
          <m:e>
            <m:r>
              <m:rPr/>
              <m:t>x</m:t>
            </m:r>
          </m:e>
          <m:sub>
            <m:r>
              <m:rPr/>
              <m:t>b</m:t>
            </m:r>
          </m:sub>
        </m:sSub>
        <m:r>
          <m:rPr/>
          <m:t>[n]</m:t>
        </m:r>
      </m:oMath>
      <w:r>
        <w:t>为带通滤波后的信号；</w:t>
      </w:r>
      <m:oMath>
        <m:sSub>
          <m:sSubPr/>
          <m:e>
            <m:r>
              <m:rPr/>
              <m:t>B</m:t>
            </m:r>
          </m:e>
          <m:sub>
            <m:r>
              <m:rPr/>
              <m:t>bp</m:t>
            </m:r>
          </m:sub>
        </m:sSub>
      </m:oMath>
      <w:r>
        <w:t>为四阶 Butterworth 带通滤波器；</w:t>
      </w:r>
      <m:oMath>
        <m:r>
          <m:rPr/>
          <m:t>filtfilt</m:t>
        </m:r>
      </m:oMath>
      <w:r>
        <w:t>表示零相位双向滤波。包络解调前另采用 3000-8000 Hz 高频共振候选频带，以突出冲击调制信息。</w:t>
      </w:r>
    </w:p>
    <w:p w14:paraId="3BB5B552">
      <w:pPr>
        <w:numPr>
          <w:ilvl w:val="0"/>
          <w:numId w:val="0"/>
        </w:numPr>
        <w:ind w:firstLine="480" w:firstLineChars="200"/>
        <w:rPr>
          <w:rFonts w:hint="default" w:hAnsi="DejaVu Math TeX Gyre" w:eastAsia="宋体" w:cstheme="minorBidi"/>
          <w:i w:val="0"/>
          <w:sz w:val="24"/>
          <w:szCs w:val="24"/>
          <w:lang w:val="en-US" w:eastAsia="zh-CN" w:bidi="ar-SA"/>
        </w:rPr>
      </w:pPr>
      <w:r>
        <w:t>（3）滑动窗口分段用于将长时间振动序列转换为多个固定长度样本。本文采用 4096 点窗口和 2048 点滑动步长，即相邻窗口之间保留 50% 重叠。采样频率为 20000 Hz 时，单个窗口时长为 0.2048 s，FFT 频率分辨率为 fs/N = 20000/4096 ≈ 4.8828 Hz。分段样本数为：</w:t>
      </w:r>
    </w:p>
    <w:p w14:paraId="165FB36C">
      <w:pPr>
        <w:numPr>
          <w:ilvl w:val="0"/>
          <w:numId w:val="0"/>
        </w:numPr>
        <w:ind w:firstLine="720" w:firstLineChars="300"/>
        <w:jc w:val="center"/>
        <w:rPr>
          <w:rFonts w:hint="default" w:hAnsi="DejaVu Math TeX Gyre" w:eastAsia="宋体" w:cstheme="minorBidi"/>
          <w:i w:val="0"/>
          <w:sz w:val="24"/>
          <w:szCs w:val="24"/>
          <w:lang w:val="en-US" w:eastAsia="zh-CN" w:bidi="ar-SA"/>
        </w:rPr>
      </w:pPr>
      <m:oMath>
        <m:r>
          <m:rPr/>
          <m:t>K = floor(</m:t>
        </m:r>
        <m:f>
          <m:fPr/>
          <m:num>
            <m:r>
              <m:rPr/>
              <m:t>L−W</m:t>
            </m:r>
          </m:num>
          <m:den>
            <m:r>
              <m:rPr/>
              <m:t>S</m:t>
            </m:r>
          </m:den>
        </m:f>
        <m:r>
          <m:rPr/>
          <m:t>) + 1</m:t>
        </m:r>
      </m:oMath>
      <w:r>
        <w:t>（3-4）</w:t>
      </w:r>
    </w:p>
    <w:p w14:paraId="684483A1">
      <w:pPr>
        <w:numPr>
          <w:ilvl w:val="0"/>
          <w:numId w:val="0"/>
        </w:numPr>
        <w:ind w:firstLine="720" w:firstLineChars="300"/>
        <w:rPr>
          <w:rFonts w:hint="default" w:hAnsi="DejaVu Math TeX Gyre" w:eastAsia="宋体" w:cstheme="minorBidi"/>
          <w:i w:val="0"/>
          <w:sz w:val="24"/>
          <w:szCs w:val="24"/>
          <w:lang w:val="en-US" w:eastAsia="zh-CN" w:bidi="ar-SA"/>
        </w:rPr>
      </w:pPr>
      <w:r>
        <w:t>式中：K 为分段样本数；L 为原始信号长度；W=4096 为窗口长度；S=2048 为滑动步长。</w:t>
      </w:r>
    </w:p>
    <w:p w14:paraId="44DCC8AA">
      <w:pPr>
        <w:numPr>
          <w:ilvl w:val="0"/>
          <w:numId w:val="0"/>
        </w:numPr>
        <w:ind w:firstLine="480" w:firstLineChars="200"/>
        <w:rPr>
          <w:rFonts w:ascii="宋体" w:hAnsi="宋体" w:eastAsia="宋体"/>
          <w:sz w:val="24"/>
          <w:szCs w:val="24"/>
        </w:rPr>
      </w:pPr>
      <w:r>
        <w:t>（4）Z-score 标准化用于消除不同特征之间的量纲差异。本文先完成特征提取和训练集/测试集划分，再仅利用训练集计算每个特征的均值和标准差，并将同一组参数应用于训练集和测试集。随机森林不进行 Z-score 标准化，BP 神经网络和 SVM 使用标准化后的特征矩阵。</w:t>
      </w:r>
    </w:p>
    <w:p w14:paraId="35BDC3DA">
      <w:pPr>
        <w:numPr>
          <w:ilvl w:val="0"/>
          <w:numId w:val="0"/>
        </w:numPr>
        <w:jc w:val="center"/>
        <w:rPr>
          <w:rFonts w:hint="eastAsia" w:hAnsi="DejaVu Math TeX Gyre" w:eastAsia="宋体" w:cstheme="minorBidi"/>
          <w:i w:val="0"/>
          <w:sz w:val="24"/>
          <w:szCs w:val="24"/>
          <w:lang w:val="en-US" w:eastAsia="zh-CN" w:bidi="ar-SA"/>
        </w:rPr>
      </w:pPr>
      <m:oMath>
        <m:sSub>
          <m:sSubPr/>
          <m:e>
            <m:r>
              <m:rPr/>
              <m:t>z</m:t>
            </m:r>
          </m:e>
          <m:sub>
            <m:r>
              <m:rPr/>
              <m:t>i,j</m:t>
            </m:r>
          </m:sub>
        </m:sSub>
        <m:r>
          <m:rPr/>
          <m:t>=</m:t>
        </m:r>
        <m:f>
          <m:fPr/>
          <m:num>
            <m:sSub>
              <m:sSubPr/>
              <m:e>
                <m:r>
                  <m:rPr/>
                  <m:t>a</m:t>
                </m:r>
              </m:e>
              <m:sub>
                <m:r>
                  <m:rPr/>
                  <m:t>i,j</m:t>
                </m:r>
              </m:sub>
            </m:sSub>
            <m:r>
              <m:rPr/>
              <m:t>−</m:t>
            </m:r>
            <m:sSub>
              <m:sSubPr/>
              <m:e>
                <m:r>
                  <m:rPr/>
                  <m:t>μ</m:t>
                </m:r>
              </m:e>
              <m:sub>
                <m:r>
                  <m:rPr/>
                  <m:t>j</m:t>
                </m:r>
              </m:sub>
            </m:sSub>
          </m:num>
          <m:den>
            <m:sSub>
              <m:sSubPr/>
              <m:e>
                <m:r>
                  <m:rPr/>
                  <m:t>σ</m:t>
                </m:r>
              </m:e>
              <m:sub>
                <m:r>
                  <m:rPr/>
                  <m:t>j</m:t>
                </m:r>
              </m:sub>
            </m:sSub>
          </m:den>
        </m:f>
      </m:oMath>
      <w:r>
        <w:t>（3-5）</w:t>
      </w:r>
    </w:p>
    <w:p w14:paraId="0DDA2762">
      <w:pPr>
        <w:numPr>
          <w:ilvl w:val="0"/>
          <w:numId w:val="0"/>
        </w:numPr>
        <w:rPr>
          <w:rFonts w:hint="eastAsia" w:hAnsi="DejaVu Math TeX Gyre" w:eastAsia="宋体" w:cstheme="minorBidi"/>
          <w:i w:val="0"/>
          <w:sz w:val="24"/>
          <w:szCs w:val="24"/>
          <w:lang w:val="en-US" w:eastAsia="zh-CN" w:bidi="ar-SA"/>
        </w:rPr>
      </w:pPr>
      <w:r>
        <w:t>式中：</w:t>
      </w:r>
      <m:oMath>
        <m:sSub>
          <m:sSubPr/>
          <m:e>
            <m:r>
              <m:rPr/>
              <m:t>a</m:t>
            </m:r>
          </m:e>
          <m:sub>
            <m:r>
              <m:rPr/>
              <m:t>i,j</m:t>
            </m:r>
          </m:sub>
        </m:sSub>
      </m:oMath>
      <w:r>
        <w:t>为第 i 个样本第 j 个原始特征值；</w:t>
      </w:r>
      <m:oMath>
        <m:sSub>
          <m:sSubPr/>
          <m:e>
            <m:r>
              <m:rPr/>
              <m:t>z</m:t>
            </m:r>
          </m:e>
          <m:sub>
            <m:r>
              <m:rPr/>
              <m:t>i,j</m:t>
            </m:r>
          </m:sub>
        </m:sSub>
      </m:oMath>
      <w:r>
        <w:t xml:space="preserve"> 为标准化后的特征值；</w:t>
      </w:r>
      <m:oMath>
        <m:sSub>
          <m:sSubPr/>
          <m:e>
            <m:r>
              <m:rPr/>
              <m:t>μ</m:t>
            </m:r>
          </m:e>
          <m:sub>
            <m:r>
              <m:rPr/>
              <m:t>j</m:t>
            </m:r>
          </m:sub>
        </m:sSub>
      </m:oMath>
      <w:r>
        <w:t xml:space="preserve"> 和 </w:t>
      </w:r>
      <m:oMath>
        <m:sSub>
          <m:sSubPr/>
          <m:e>
            <m:r>
              <m:rPr/>
              <m:t>σ</m:t>
            </m:r>
          </m:e>
          <m:sub>
            <m:r>
              <m:rPr/>
              <m:t>j</m:t>
            </m:r>
          </m:sub>
        </m:sSub>
      </m:oMath>
      <w:r>
        <w:t>分别为训练集中第 j 个特征的均值和标准差。</w:t>
      </w:r>
    </w:p>
    <w:p w14:paraId="1B211752">
      <w:pPr>
        <w:numPr>
          <w:ilvl w:val="0"/>
          <w:numId w:val="0"/>
        </w:numPr>
        <w:rPr>
          <w:rFonts w:hint="eastAsia" w:hAnsi="DejaVu Math TeX Gyre" w:eastAsia="宋体" w:cstheme="minorBidi"/>
          <w:i w:val="0"/>
          <w:sz w:val="24"/>
          <w:szCs w:val="24"/>
          <w:lang w:val="en-US" w:eastAsia="zh-CN" w:bidi="ar-SA"/>
        </w:rPr>
      </w:pPr>
    </w:p>
    <w:p w14:paraId="170F267B">
      <w:pPr>
        <w:jc w:val="center"/>
        <w:rPr>
          <w:sz w:val="24"/>
          <w:szCs w:val="24"/>
        </w:rPr>
      </w:pPr>
      <w:r>
        <w:rPr>
          <w:rFonts w:ascii="宋体" w:hAnsi="宋体" w:eastAsia="宋体"/>
          <w:b/>
          <w:sz w:val="24"/>
          <w:szCs w:val="24"/>
        </w:rPr>
        <w:t>表 3-1 振动信号预处理步骤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103B0002">
        <w:trPr>
          <w:jc w:val="center"/>
        </w:trPr>
        <w:tc>
          <w:tcPr>
            <w:tcW w:w="3043" w:type="dxa"/>
            <w:shd w:val="clear" w:color="auto" w:fill="E8EEF5"/>
            <w:tcMar>
              <w:top w:w="80" w:type="dxa"/>
              <w:left w:w="120" w:type="dxa"/>
              <w:bottom w:w="80" w:type="dxa"/>
              <w:right w:w="120" w:type="dxa"/>
            </w:tcMar>
            <w:vAlign w:val="center"/>
          </w:tcPr>
          <w:p w14:paraId="1B4139A1">
            <w:r>
              <w:t>预处理步骤</w:t>
            </w:r>
          </w:p>
        </w:tc>
        <w:tc>
          <w:tcPr>
            <w:tcW w:w="3043" w:type="dxa"/>
            <w:shd w:val="clear" w:color="auto" w:fill="E8EEF5"/>
            <w:tcMar>
              <w:top w:w="80" w:type="dxa"/>
              <w:left w:w="120" w:type="dxa"/>
              <w:bottom w:w="80" w:type="dxa"/>
              <w:right w:w="120" w:type="dxa"/>
            </w:tcMar>
            <w:vAlign w:val="center"/>
          </w:tcPr>
          <w:p w14:paraId="1273AE1C">
            <w:r>
              <w:t>具体方法</w:t>
            </w:r>
          </w:p>
        </w:tc>
        <w:tc>
          <w:tcPr>
            <w:tcW w:w="3043" w:type="dxa"/>
            <w:shd w:val="clear" w:color="auto" w:fill="E8EEF5"/>
            <w:tcMar>
              <w:top w:w="80" w:type="dxa"/>
              <w:left w:w="120" w:type="dxa"/>
              <w:bottom w:w="80" w:type="dxa"/>
              <w:right w:w="120" w:type="dxa"/>
            </w:tcMar>
            <w:vAlign w:val="center"/>
          </w:tcPr>
          <w:p w14:paraId="1B095933">
            <w:r>
              <w:t>主要作用</w:t>
            </w:r>
          </w:p>
        </w:tc>
      </w:tr>
      <w:tr w14:paraId="1F74249B">
        <w:trPr>
          <w:jc w:val="center"/>
        </w:trPr>
        <w:tc>
          <w:tcPr>
            <w:tcW w:w="3043" w:type="dxa"/>
            <w:tcMar>
              <w:top w:w="80" w:type="dxa"/>
              <w:left w:w="120" w:type="dxa"/>
              <w:bottom w:w="80" w:type="dxa"/>
              <w:right w:w="120" w:type="dxa"/>
            </w:tcMar>
            <w:vAlign w:val="center"/>
          </w:tcPr>
          <w:p w14:paraId="6610AE85">
            <w:r>
              <w:t>去直流</w:t>
            </w:r>
          </w:p>
        </w:tc>
        <w:tc>
          <w:tcPr>
            <w:tcW w:w="3043" w:type="dxa"/>
            <w:tcMar>
              <w:top w:w="80" w:type="dxa"/>
              <w:left w:w="120" w:type="dxa"/>
              <w:bottom w:w="80" w:type="dxa"/>
              <w:right w:w="120" w:type="dxa"/>
            </w:tcMar>
            <w:vAlign w:val="center"/>
          </w:tcPr>
          <w:p w14:paraId="519F131A">
            <w:r>
              <w:rPr>
                <w:rFonts w:ascii="宋体" w:hAnsi="宋体" w:eastAsia="宋体"/>
                <w:sz w:val="24"/>
                <w:szCs w:val="24"/>
              </w:rPr>
              <w:t>每段信号减去均值</w:t>
            </w:r>
          </w:p>
        </w:tc>
        <w:tc>
          <w:tcPr>
            <w:tcW w:w="3043" w:type="dxa"/>
            <w:tcMar>
              <w:top w:w="80" w:type="dxa"/>
              <w:left w:w="120" w:type="dxa"/>
              <w:bottom w:w="80" w:type="dxa"/>
              <w:right w:w="120" w:type="dxa"/>
            </w:tcMar>
            <w:vAlign w:val="center"/>
          </w:tcPr>
          <w:p w14:paraId="1AD0B9E4">
            <w:r>
              <w:t>消除传感器零点偏置和均值漂移</w:t>
            </w:r>
          </w:p>
        </w:tc>
      </w:tr>
      <w:tr w14:paraId="466A23D2">
        <w:trPr>
          <w:jc w:val="center"/>
        </w:trPr>
        <w:tc>
          <w:tcPr>
            <w:tcW w:w="3043" w:type="dxa"/>
            <w:tcMar>
              <w:top w:w="80" w:type="dxa"/>
              <w:left w:w="120" w:type="dxa"/>
              <w:bottom w:w="80" w:type="dxa"/>
              <w:right w:w="120" w:type="dxa"/>
            </w:tcMar>
            <w:vAlign w:val="center"/>
          </w:tcPr>
          <w:p w14:paraId="3E15A4AD">
            <w:r>
              <w:t>带通滤波</w:t>
            </w:r>
          </w:p>
        </w:tc>
        <w:tc>
          <w:tcPr>
            <w:tcW w:w="3043" w:type="dxa"/>
            <w:tcMar>
              <w:top w:w="80" w:type="dxa"/>
              <w:left w:w="120" w:type="dxa"/>
              <w:bottom w:w="80" w:type="dxa"/>
              <w:right w:w="120" w:type="dxa"/>
            </w:tcMar>
            <w:vAlign w:val="center"/>
          </w:tcPr>
          <w:p w14:paraId="779978CD">
            <w:r>
              <w:t>四阶 Butterworth，10-8000 Hz，sosfiltfilt 零相位双向滤波</w:t>
            </w:r>
          </w:p>
        </w:tc>
        <w:tc>
          <w:tcPr>
            <w:tcW w:w="3043" w:type="dxa"/>
            <w:tcMar>
              <w:top w:w="80" w:type="dxa"/>
              <w:left w:w="120" w:type="dxa"/>
              <w:bottom w:w="80" w:type="dxa"/>
              <w:right w:w="120" w:type="dxa"/>
            </w:tcMar>
            <w:vAlign w:val="center"/>
          </w:tcPr>
          <w:p w14:paraId="2CE33B86">
            <w:r>
              <w:t>保留转频、倍频、中高频冲击和汽蚀宽带信息</w:t>
            </w:r>
          </w:p>
        </w:tc>
      </w:tr>
      <w:tr w14:paraId="2D7D76DE">
        <w:trPr>
          <w:jc w:val="center"/>
        </w:trPr>
        <w:tc>
          <w:tcPr>
            <w:tcW w:w="3043" w:type="dxa"/>
            <w:tcMar>
              <w:top w:w="80" w:type="dxa"/>
              <w:left w:w="120" w:type="dxa"/>
              <w:bottom w:w="80" w:type="dxa"/>
              <w:right w:w="120" w:type="dxa"/>
            </w:tcMar>
            <w:vAlign w:val="center"/>
          </w:tcPr>
          <w:p w14:paraId="073DDF2B">
            <w:r>
              <w:t>滑动窗口分段</w:t>
            </w:r>
          </w:p>
        </w:tc>
        <w:tc>
          <w:tcPr>
            <w:tcW w:w="3043" w:type="dxa"/>
            <w:tcMar>
              <w:top w:w="80" w:type="dxa"/>
              <w:left w:w="120" w:type="dxa"/>
              <w:bottom w:w="80" w:type="dxa"/>
              <w:right w:w="120" w:type="dxa"/>
            </w:tcMar>
            <w:vAlign w:val="center"/>
          </w:tcPr>
          <w:p w14:paraId="5C1F4321">
            <w:r>
              <w:t>4096 点窗口，2048 点步长，50% 重叠</w:t>
            </w:r>
          </w:p>
        </w:tc>
        <w:tc>
          <w:tcPr>
            <w:tcW w:w="3043" w:type="dxa"/>
            <w:tcMar>
              <w:top w:w="80" w:type="dxa"/>
              <w:left w:w="120" w:type="dxa"/>
              <w:bottom w:w="80" w:type="dxa"/>
              <w:right w:w="120" w:type="dxa"/>
            </w:tcMar>
            <w:vAlign w:val="center"/>
          </w:tcPr>
          <w:p w14:paraId="4F65E174">
            <w:r>
              <w:t>将长信号转换为机器学习样本</w:t>
            </w:r>
          </w:p>
        </w:tc>
      </w:tr>
      <w:tr w14:paraId="72BDBBE3">
        <w:trPr>
          <w:jc w:val="center"/>
        </w:trPr>
        <w:tc>
          <w:tcPr>
            <w:tcW w:w="3043" w:type="dxa"/>
            <w:tcMar>
              <w:top w:w="80" w:type="dxa"/>
              <w:left w:w="120" w:type="dxa"/>
              <w:bottom w:w="80" w:type="dxa"/>
              <w:right w:w="120" w:type="dxa"/>
            </w:tcMar>
            <w:vAlign w:val="center"/>
          </w:tcPr>
          <w:p w14:paraId="5FF56E66">
            <w:r>
              <w:t>特征标准化</w:t>
            </w:r>
          </w:p>
        </w:tc>
        <w:tc>
          <w:tcPr>
            <w:tcW w:w="3043" w:type="dxa"/>
            <w:tcMar>
              <w:top w:w="80" w:type="dxa"/>
              <w:left w:w="120" w:type="dxa"/>
              <w:bottom w:w="80" w:type="dxa"/>
              <w:right w:w="120" w:type="dxa"/>
            </w:tcMar>
            <w:vAlign w:val="center"/>
          </w:tcPr>
          <w:p w14:paraId="0EE04A23">
            <w:r>
              <w:t>特征提取和数据划分后，仅用训练集均值和标准差做 Z-score</w:t>
            </w:r>
          </w:p>
        </w:tc>
        <w:tc>
          <w:tcPr>
            <w:tcW w:w="3043" w:type="dxa"/>
            <w:tcMar>
              <w:top w:w="80" w:type="dxa"/>
              <w:left w:w="120" w:type="dxa"/>
              <w:bottom w:w="80" w:type="dxa"/>
              <w:right w:w="120" w:type="dxa"/>
            </w:tcMar>
            <w:vAlign w:val="center"/>
          </w:tcPr>
          <w:p w14:paraId="1C7E3D43">
            <w:r>
              <w:t>用于 BP 和 SVM；随机森林保留真实幅值特征</w:t>
            </w:r>
          </w:p>
        </w:tc>
      </w:tr>
    </w:tbl>
    <w:p w14:paraId="48D1F738">
      <w:pPr>
        <w:pStyle w:val="4"/>
      </w:pPr>
      <w:r>
        <w:rPr>
          <w:rFonts w:ascii="宋体" w:hAnsi="宋体" w:eastAsia="宋体"/>
          <w:sz w:val="22"/>
        </w:rPr>
        <w:t>3.2 时域特征提取</w:t>
      </w:r>
    </w:p>
    <w:p w14:paraId="22379B9E">
      <w:pPr>
        <w:ind w:firstLine="480" w:firstLineChars="200"/>
      </w:pPr>
      <w:r>
        <w:t>时域特征直接从振动波形中计算，能够描述信号幅值水平、波动形态和冲击程度。本文在候选特征阶段提取均方根值、偏度、峭度、峰值因子和脉冲因子 5 项时域特征。由于去直流后标准差与均方根值高度相关，因此在相关性筛选阶段删除标准差；最终 25 维入模特征中保留均方根值。</w:t>
      </w:r>
    </w:p>
    <w:p w14:paraId="1B3B8E92">
      <w:pPr>
        <w:ind w:firstLine="480" w:firstLineChars="200"/>
        <w:rPr>
          <w:sz w:val="24"/>
          <w:szCs w:val="24"/>
        </w:rPr>
      </w:pPr>
      <w:r>
        <w:t>峭度用于衡量信号尖峰程度，对冲击类故障较敏感。轴承局部损伤、松动碰撞和汽蚀气泡破裂都可能导致波形中出现尖峰。峭度、峰值因子和脉冲因子主要作为候选特征和机理分析指标，经训练集特征筛选后未进入最终 25 维入模特征集合。</w:t>
      </w:r>
    </w:p>
    <w:p w14:paraId="4D66FFBC">
      <w:pPr>
        <w:ind w:firstLine="480" w:firstLineChars="200"/>
        <w:rPr>
          <w:rFonts w:ascii="宋体" w:hAnsi="宋体" w:eastAsia="宋体"/>
          <w:sz w:val="24"/>
          <w:szCs w:val="24"/>
        </w:rPr>
      </w:pPr>
      <w:r>
        <w:t>均方根值 RMS 反映振动能量和整体振动强度。偏度用于描述波形分布的不对称程度，峭度、峰值因子和脉冲因子则用于描述局部冲击、尖峰和非平稳波动。相关计算式为：</w:t>
      </w:r>
    </w:p>
    <w:p w14:paraId="0266EE33">
      <w:pPr>
        <w:ind w:firstLine="480" w:firstLineChars="200"/>
        <w:jc w:val="center"/>
        <w:rPr>
          <w:rFonts w:hint="default" w:hAnsi="DejaVu Math TeX Gyre" w:eastAsia="宋体"/>
          <w:i w:val="0"/>
          <w:sz w:val="24"/>
          <w:szCs w:val="24"/>
        </w:rPr>
      </w:pPr>
      <m:oMath>
        <m:sSub>
          <m:sSubPr/>
          <m:e>
            <m:r>
              <m:rPr/>
              <m:t>x</m:t>
            </m:r>
          </m:e>
          <m:sub>
            <m:r>
              <m:rPr/>
              <m:t>RMS</m:t>
            </m:r>
          </m:sub>
        </m:sSub>
        <m:r>
          <m:rPr/>
          <m:t> = </m:t>
        </m:r>
        <m:rad>
          <m:radPr>
            <m:degHide m:val="1"/>
          </m:radPr>
          <m:deg/>
          <m:e>
            <m:f>
              <m:fPr/>
              <m:num>
                <m:r>
                  <m:rPr/>
                  <m:t>1</m:t>
                </m:r>
              </m:num>
              <m:den>
                <m:r>
                  <m:rPr/>
                  <m:t>N</m:t>
                </m:r>
              </m:den>
            </m:f>
            <m:sSubSup>
              <m:sSubSupPr/>
              <m:e>
                <m:r>
                  <m:rPr/>
                  <m:t>Σ</m:t>
                </m:r>
              </m:e>
              <m:sub>
                <m:r>
                  <m:rPr/>
                  <m:t>n=0</m:t>
                </m:r>
              </m:sub>
              <m:sup>
                <m:r>
                  <m:rPr/>
                  <m:t>N−1</m:t>
                </m:r>
              </m:sup>
            </m:sSubSup>
            <m:sSup>
              <m:sSupPr/>
              <m:e>
                <m:r>
                  <m:rPr/>
                  <m:t>x[n]</m:t>
                </m:r>
              </m:e>
              <m:sup>
                <m:r>
                  <m:rPr/>
                  <m:t>2</m:t>
                </m:r>
              </m:sup>
            </m:sSup>
          </m:e>
        </m:rad>
      </m:oMath>
      <w:r>
        <w:t>（3-6）</w:t>
      </w:r>
    </w:p>
    <w:p w14:paraId="769C856E">
      <w:pPr>
        <w:ind w:firstLine="480" w:firstLineChars="200"/>
        <w:jc w:val="center"/>
        <w:rPr>
          <w:rFonts w:hint="eastAsia" w:hAnsi="DejaVu Math TeX Gyre" w:eastAsia="宋体" w:cstheme="minorBidi"/>
          <w:i w:val="0"/>
          <w:sz w:val="24"/>
          <w:szCs w:val="24"/>
          <w:lang w:val="en-US" w:eastAsia="en-US" w:bidi="ar-SA"/>
        </w:rPr>
      </w:pPr>
      <m:oMath>
        <m:r>
          <m:rPr/>
          <m:t>S = </m:t>
        </m:r>
        <m:f>
          <m:fPr/>
          <m:num>
            <m:r>
              <m:rPr/>
              <m:t>1</m:t>
            </m:r>
          </m:num>
          <m:den>
            <m:r>
              <m:rPr/>
              <m:t>N</m:t>
            </m:r>
          </m:den>
        </m:f>
        <m:sSubSup>
          <m:sSubSupPr/>
          <m:e>
            <m:r>
              <m:rPr/>
              <m:t>Σ</m:t>
            </m:r>
          </m:e>
          <m:sub>
            <m:r>
              <m:rPr/>
              <m:t>n=0</m:t>
            </m:r>
          </m:sub>
          <m:sup>
            <m:r>
              <m:rPr/>
              <m:t>N−1</m:t>
            </m:r>
          </m:sup>
        </m:sSubSup>
        <m:sSup>
          <m:sSupPr/>
          <m:e>
            <m:r>
              <m:rPr/>
              <m:t>(</m:t>
            </m:r>
            <m:f>
              <m:fPr/>
              <m:num>
                <m:r>
                  <m:rPr/>
                  <m:t>x[n] − μ</m:t>
                </m:r>
              </m:num>
              <m:den>
                <m:r>
                  <m:rPr/>
                  <m:t>σ</m:t>
                </m:r>
              </m:den>
            </m:f>
            <m:r>
              <m:rPr/>
              <m:t>)</m:t>
            </m:r>
          </m:e>
          <m:sup>
            <m:r>
              <m:rPr/>
              <m:t>3</m:t>
            </m:r>
          </m:sup>
        </m:sSup>
      </m:oMath>
      <w:r>
        <w:t>（3-7）</w:t>
      </w:r>
    </w:p>
    <w:p w14:paraId="55F6C442">
      <w:pPr>
        <w:ind w:firstLine="480" w:firstLineChars="200"/>
        <w:jc w:val="center"/>
        <w:rPr>
          <w:rFonts w:hint="eastAsia" w:hAnsi="DejaVu Math TeX Gyre" w:eastAsia="宋体" w:cstheme="minorBidi"/>
          <w:i w:val="0"/>
          <w:sz w:val="24"/>
          <w:szCs w:val="24"/>
          <w:lang w:val="en-US" w:eastAsia="en-US" w:bidi="ar-SA"/>
        </w:rPr>
      </w:pPr>
      <m:oMath>
        <m:r>
          <m:rPr/>
          <m:t>K = </m:t>
        </m:r>
        <m:f>
          <m:fPr/>
          <m:num>
            <m:r>
              <m:rPr/>
              <m:t>1</m:t>
            </m:r>
          </m:num>
          <m:den>
            <m:r>
              <m:rPr/>
              <m:t>N</m:t>
            </m:r>
          </m:den>
        </m:f>
        <m:sSubSup>
          <m:sSubSupPr/>
          <m:e>
            <m:r>
              <m:rPr/>
              <m:t>Σ</m:t>
            </m:r>
          </m:e>
          <m:sub>
            <m:r>
              <m:rPr/>
              <m:t>n=0</m:t>
            </m:r>
          </m:sub>
          <m:sup>
            <m:r>
              <m:rPr/>
              <m:t>N−1</m:t>
            </m:r>
          </m:sup>
        </m:sSubSup>
        <m:sSup>
          <m:sSupPr/>
          <m:e>
            <m:r>
              <m:rPr/>
              <m:t>(</m:t>
            </m:r>
            <m:f>
              <m:fPr/>
              <m:num>
                <m:r>
                  <m:rPr/>
                  <m:t>x[n] − μ</m:t>
                </m:r>
              </m:num>
              <m:den>
                <m:r>
                  <m:rPr/>
                  <m:t>σ</m:t>
                </m:r>
              </m:den>
            </m:f>
            <m:r>
              <m:rPr/>
              <m:t>)</m:t>
            </m:r>
          </m:e>
          <m:sup>
            <m:r>
              <m:rPr/>
              <m:t>4</m:t>
            </m:r>
          </m:sup>
        </m:sSup>
      </m:oMath>
      <w:r>
        <w:t>（3-8）</w:t>
      </w:r>
    </w:p>
    <w:p w14:paraId="55F6C442">
      <w:pPr>
        <w:ind w:firstLine="480" w:firstLineChars="200"/>
        <w:jc w:val="center"/>
        <w:rPr>
          <w:rFonts w:hint="eastAsia" w:hAnsi="DejaVu Math TeX Gyre" w:eastAsia="宋体" w:cstheme="minorBidi"/>
          <w:i w:val="0"/>
          <w:sz w:val="24"/>
          <w:szCs w:val="24"/>
          <w:lang w:val="en-US" w:eastAsia="en-US" w:bidi="ar-SA"/>
        </w:rPr>
      </w:pPr>
      <m:oMath>
        <m:sSub>
          <m:sSubPr/>
          <m:e>
            <m:r>
              <m:rPr/>
              <m:t>C</m:t>
            </m:r>
          </m:e>
          <m:sub>
            <m:r>
              <m:rPr/>
              <m:t>f</m:t>
            </m:r>
          </m:sub>
        </m:sSub>
        <m:r>
          <m:rPr/>
          <m:t> = </m:t>
        </m:r>
        <m:f>
          <m:fPr/>
          <m:num>
            <m:r>
              <m:rPr/>
              <m:t>max |x[n]|</m:t>
            </m:r>
          </m:num>
          <m:den>
            <m:sSub>
              <m:sSubPr/>
              <m:e>
                <m:r>
                  <m:rPr/>
                  <m:t>x</m:t>
                </m:r>
              </m:e>
              <m:sub>
                <m:r>
                  <m:rPr/>
                  <m:t>RMS</m:t>
                </m:r>
              </m:sub>
            </m:sSub>
          </m:den>
        </m:f>
      </m:oMath>
      <w:r>
        <w:t>（3-9）</w:t>
      </w:r>
    </w:p>
    <w:p w14:paraId="55F6C442">
      <w:pPr>
        <w:ind w:firstLine="480" w:firstLineChars="200"/>
        <w:jc w:val="center"/>
        <w:rPr>
          <w:rFonts w:hint="eastAsia" w:hAnsi="DejaVu Math TeX Gyre" w:eastAsia="宋体" w:cstheme="minorBidi"/>
          <w:i w:val="0"/>
          <w:sz w:val="24"/>
          <w:szCs w:val="24"/>
          <w:lang w:val="en-US" w:eastAsia="en-US" w:bidi="ar-SA"/>
        </w:rPr>
      </w:pPr>
      <m:oMath>
        <m:sSub>
          <m:sSubPr/>
          <m:e>
            <m:r>
              <m:rPr/>
              <m:t>I</m:t>
            </m:r>
          </m:e>
          <m:sub>
            <m:r>
              <m:rPr/>
              <m:t>f</m:t>
            </m:r>
          </m:sub>
        </m:sSub>
        <m:r>
          <m:rPr/>
          <m:t> = </m:t>
        </m:r>
        <m:f>
          <m:fPr/>
          <m:num>
            <m:r>
              <m:rPr/>
              <m:t>max |x[n]|</m:t>
            </m:r>
          </m:num>
          <m:den>
            <m:f>
              <m:fPr/>
              <m:num>
                <m:r>
                  <m:rPr/>
                  <m:t>1</m:t>
                </m:r>
              </m:num>
              <m:den>
                <m:r>
                  <m:rPr/>
                  <m:t>N</m:t>
                </m:r>
              </m:den>
            </m:f>
            <m:sSubSup>
              <m:sSubSupPr/>
              <m:e>
                <m:r>
                  <m:rPr/>
                  <m:t>Σ</m:t>
                </m:r>
              </m:e>
              <m:sub>
                <m:r>
                  <m:rPr/>
                  <m:t>n=0</m:t>
                </m:r>
              </m:sub>
              <m:sup>
                <m:r>
                  <m:rPr/>
                  <m:t>N−1</m:t>
                </m:r>
              </m:sup>
            </m:sSubSup>
            <m:r>
              <m:rPr/>
              <m:t>|x[n]|</m:t>
            </m:r>
          </m:den>
        </m:f>
      </m:oMath>
      <w:r>
        <w:t>（3-10）</w:t>
      </w:r>
    </w:p>
    <w:p w14:paraId="064CFCE5">
      <w:pPr>
        <w:ind w:firstLine="480" w:firstLineChars="200"/>
        <w:rPr>
          <w:rFonts w:hint="eastAsia" w:hAnsi="DejaVu Math TeX Gyre" w:eastAsia="宋体" w:cstheme="minorBidi"/>
          <w:i w:val="0"/>
          <w:sz w:val="24"/>
          <w:szCs w:val="24"/>
          <w:lang w:val="en-US" w:eastAsia="en-US" w:bidi="ar-SA"/>
        </w:rPr>
      </w:pPr>
      <w:r>
        <w:t>式中：x</w:t>
      </w:r>
      <w:r>
        <w:rPr>
          <w:vertAlign w:val="subscript"/>
        </w:rPr>
        <w:t>RMS</w:t>
      </w:r>
      <w:r>
        <w:t> 为均方根值；S 为偏度；K 为峭度；C</w:t>
      </w:r>
      <w:r>
        <w:rPr>
          <w:vertAlign w:val="subscript"/>
        </w:rPr>
        <w:t>f</w:t>
      </w:r>
      <w:r>
        <w:t> 为峰值因子；I</w:t>
      </w:r>
      <w:r>
        <w:rPr>
          <w:vertAlign w:val="subscript"/>
        </w:rPr>
        <w:t>f</w:t>
      </w:r>
      <w:r>
        <w:t> 为脉冲因子；x[n] 为窗口信号；μ 和 σ 分别为窗口信号均值和标准差；N 为采样点数。</w:t>
      </w:r>
    </w:p>
    <w:p w14:paraId="2A68CB41">
      <w:pPr>
        <w:ind w:firstLine="480" w:firstLineChars="200"/>
        <w:rPr>
          <w:sz w:val="24"/>
          <w:szCs w:val="24"/>
        </w:rPr>
      </w:pPr>
      <w:r>
        <w:t>时域候选特征不能单独区分所有故障类型，但能为模型提供基础振动强度和冲击信息。最终筛选结果仅保留 RMS，说明在当前数据和相关性筛选条件下，整体振动强度对六类故障分类贡献更稳定。</w:t>
      </w:r>
    </w:p>
    <w:p w14:paraId="5D2BC81B">
      <w:pPr>
        <w:pStyle w:val="4"/>
      </w:pPr>
      <w:r>
        <w:rPr>
          <w:rFonts w:ascii="宋体" w:hAnsi="宋体" w:eastAsia="宋体"/>
          <w:sz w:val="22"/>
        </w:rPr>
        <w:t>3.3 频域特征提取</w:t>
      </w:r>
    </w:p>
    <w:p w14:paraId="0775559C">
      <w:pPr>
        <w:ind w:firstLine="480" w:firstLineChars="200"/>
        <w:rPr>
          <w:rFonts w:ascii="宋体" w:hAnsi="宋体" w:eastAsia="宋体"/>
          <w:sz w:val="24"/>
          <w:szCs w:val="24"/>
        </w:rPr>
      </w:pPr>
      <w:r>
        <w:t>频域特征通过快速傅里叶变换 FFT 得到，能够揭示振动信号中不同频率成分的幅值和能量分布。本文对每个 4096 点窗口乘 Hann 窗（汉宁窗）后进行 FFT，频率分辨率约为 4.8828 Hz。频域特征主要包括主频、1X/2X/3X 幅值、1X/2X/3X 邻域能量，以及低频、中频和高频频带能量占比。FFT 定义为：</w:t>
      </w:r>
    </w:p>
    <w:p w14:paraId="2F05380B">
      <w:pPr>
        <w:ind w:firstLine="480" w:firstLineChars="200"/>
        <w:jc w:val="center"/>
        <w:rPr>
          <w:rFonts w:hint="eastAsia" w:hAnsi="DejaVu Math TeX Gyre" w:eastAsia="宋体" w:cstheme="minorBidi"/>
          <w:i w:val="0"/>
          <w:sz w:val="24"/>
          <w:szCs w:val="24"/>
          <w:lang w:val="en-US" w:eastAsia="en-US" w:bidi="ar-SA"/>
        </w:rPr>
      </w:pPr>
      <m:oMath>
        <m:r>
          <m:rPr/>
          <m:t>X[k] =</m:t>
        </m:r>
        <m:sSubSup>
          <m:sSubSupPr/>
          <m:e>
            <m:r>
              <m:rPr/>
              <m:t>Σ</m:t>
            </m:r>
          </m:e>
          <m:sub>
            <m:r>
              <m:rPr/>
              <m:t>n=0</m:t>
            </m:r>
          </m:sub>
          <m:sup>
            <m:r>
              <m:rPr/>
              <m:t>N−1</m:t>
            </m:r>
          </m:sup>
        </m:sSubSup>
        <m:sSub>
          <m:sSubPr/>
          <m:e>
            <m:r>
              <m:rPr/>
              <m:t>x</m:t>
            </m:r>
          </m:e>
          <m:sub>
            <m:r>
              <m:rPr/>
              <m:t>b</m:t>
            </m:r>
          </m:sub>
        </m:sSub>
        <m:r>
          <m:rPr/>
          <m:t>[n]w[n] exp(</m:t>
        </m:r>
        <m:f>
          <m:fPr/>
          <m:num>
            <m:r>
              <m:rPr/>
              <m:t>−j2πkn</m:t>
            </m:r>
          </m:num>
          <m:den>
            <m:r>
              <m:rPr/>
              <m:t>N</m:t>
            </m:r>
          </m:den>
        </m:f>
        <m:r>
          <m:rPr/>
          <m:t>),   k = 0,1,...,N/2</m:t>
        </m:r>
      </m:oMath>
      <w:r>
        <w:t>（3-11）</w:t>
      </w:r>
    </w:p>
    <w:p w14:paraId="19039D4F">
      <w:pPr>
        <w:ind w:firstLine="480" w:firstLineChars="200"/>
        <w:rPr>
          <w:rFonts w:hint="eastAsia" w:hAnsi="DejaVu Math TeX Gyre" w:eastAsia="宋体" w:cstheme="minorBidi"/>
          <w:i w:val="0"/>
          <w:sz w:val="24"/>
          <w:szCs w:val="24"/>
          <w:lang w:val="en-US" w:eastAsia="en-US" w:bidi="ar-SA"/>
        </w:rPr>
      </w:pPr>
      <w:r>
        <w:t>式中：X[k] 为第 k 个频点的复频谱；</w:t>
      </w:r>
      <m:oMath>
        <m:sSub>
          <m:sSubPr/>
          <m:e>
            <m:r>
              <m:rPr/>
              <m:t>x</m:t>
            </m:r>
          </m:e>
          <m:sub>
            <m:r>
              <m:rPr/>
              <m:t>b</m:t>
            </m:r>
          </m:sub>
        </m:sSub>
        <m:r>
          <m:rPr/>
          <m:t>[n]</m:t>
        </m:r>
      </m:oMath>
      <w:r>
        <w:t xml:space="preserve"> 为带通滤波后的离散信号；w[n] 为 Hann 窗（汉宁窗）；N 为窗口长度；j 为虚数单位。</w:t>
      </w:r>
    </w:p>
    <w:p w14:paraId="750D1C9D">
      <w:pPr>
        <w:ind w:firstLine="480" w:firstLineChars="200"/>
        <w:rPr>
          <w:rFonts w:hint="eastAsia" w:hAnsi="DejaVu Math TeX Gyre" w:eastAsia="宋体" w:cstheme="minorBidi"/>
          <w:i w:val="0"/>
          <w:sz w:val="24"/>
          <w:szCs w:val="24"/>
          <w:lang w:val="en-US" w:eastAsia="en-US" w:bidi="ar-SA"/>
        </w:rPr>
      </w:pPr>
      <w:r>
        <w:t xml:space="preserve">转频是由转子旋转速度决定的基础频率。本文数据集中 Motor-2 的 50/75/100 </w:t>
      </w:r>
      <w:r>
        <w:rPr>
          <w:rFonts w:hint="eastAsia"/>
          <w:lang w:val="en-US" w:eastAsia="zh-CN"/>
        </w:rPr>
        <w:t>Hz</w:t>
      </w:r>
      <w:r>
        <w:t xml:space="preserve">和 Motor-4 的 70 </w:t>
      </w:r>
      <w:r>
        <w:rPr>
          <w:rFonts w:hint="eastAsia"/>
          <w:lang w:val="en-US" w:eastAsia="zh-CN"/>
        </w:rPr>
        <w:t>Hz</w:t>
      </w:r>
      <w:r>
        <w:t>均表示变频器输出频率，单位为 Hz；本文转速采用数据集工况标注映射得到的实际转速，Motor-2 的 50/75/100 Hz 工况分别对应 740/1110/1480 r/min，Motor-4 的 70 Hz 工况对应 2070 r/min。转频及倍频计算为：</w:t>
      </w:r>
    </w:p>
    <w:p w14:paraId="2694B9A5">
      <w:pPr>
        <w:ind w:firstLine="1200" w:firstLineChars="500"/>
        <w:jc w:val="center"/>
        <w:rPr>
          <w:rFonts w:hint="eastAsia" w:hAnsi="DejaVu Math TeX Gyre" w:eastAsia="宋体" w:cstheme="minorBidi"/>
          <w:i w:val="0"/>
          <w:sz w:val="24"/>
          <w:szCs w:val="24"/>
          <w:lang w:val="en-US" w:eastAsia="en-US" w:bidi="ar-SA"/>
        </w:rPr>
      </w:pPr>
      <m:oMath>
        <m:sSub>
          <m:sSubPr/>
          <m:e>
            <m:r>
              <m:rPr/>
              <m:t>f</m:t>
            </m:r>
          </m:e>
          <m:sub>
            <m:r>
              <m:rPr/>
              <m:t>1X</m:t>
            </m:r>
          </m:sub>
        </m:sSub>
        <m:r>
          <m:rPr/>
          <m:t>=</m:t>
        </m:r>
        <m:f>
          <m:fPr/>
          <m:num>
            <m:r>
              <m:rPr/>
              <m:t>rpm</m:t>
            </m:r>
          </m:num>
          <m:den>
            <m:r>
              <m:rPr/>
              <m:t>60</m:t>
            </m:r>
          </m:den>
        </m:f>
        <m:r>
          <m:rPr/>
          <m:t>,</m:t>
        </m:r>
        <m:sSub>
          <m:sSubPr/>
          <m:e>
            <m:r>
              <m:rPr/>
              <m:t>f</m:t>
            </m:r>
          </m:e>
          <m:sub>
            <m:r>
              <m:rPr/>
              <m:t>mX</m:t>
            </m:r>
          </m:sub>
        </m:sSub>
        <m:r>
          <m:rPr/>
          <m:t>= m</m:t>
        </m:r>
        <m:sSub>
          <m:sSubPr/>
          <m:e>
            <m:r>
              <m:rPr/>
              <m:t>f</m:t>
            </m:r>
          </m:e>
          <m:sub>
            <m:r>
              <m:rPr/>
              <m:t>1X</m:t>
            </m:r>
          </m:sub>
        </m:sSub>
        <m:r>
          <m:rPr/>
          <m:t>,    m = 1,2,3</m:t>
        </m:r>
      </m:oMath>
      <w:r>
        <w:t>（3-12）</w:t>
      </w:r>
    </w:p>
    <w:p w14:paraId="1B20866D">
      <w:pPr>
        <w:ind w:firstLine="1200" w:firstLineChars="500"/>
        <w:jc w:val="center"/>
        <w:rPr>
          <w:rFonts w:hint="eastAsia" w:hAnsi="DejaVu Math TeX Gyre" w:eastAsia="宋体" w:cstheme="minorBidi"/>
          <w:i w:val="0"/>
          <w:sz w:val="24"/>
          <w:szCs w:val="24"/>
          <w:lang w:val="en-US" w:eastAsia="en-US" w:bidi="ar-SA"/>
        </w:rPr>
      </w:pPr>
      <m:oMath>
        <m:sSub>
          <m:sSubPr/>
          <m:e>
            <m:r>
              <m:rPr/>
              <m:t>A</m:t>
            </m:r>
          </m:e>
          <m:sub>
            <m:r>
              <m:rPr/>
              <m:t>mX</m:t>
            </m:r>
          </m:sub>
        </m:sSub>
        <m:r>
          <m:rPr/>
          <m:t>= max{ |X(f)| : |f −</m:t>
        </m:r>
        <m:sSub>
          <m:sSubPr/>
          <m:e>
            <m:r>
              <m:rPr/>
              <m:t>f</m:t>
            </m:r>
          </m:e>
          <m:sub>
            <m:r>
              <m:rPr/>
              <m:t>mX</m:t>
            </m:r>
          </m:sub>
        </m:sSub>
        <m:r>
          <m:rPr/>
          <m:t>| ≤ 5 Hz }</m:t>
        </m:r>
      </m:oMath>
      <w:r>
        <w:t>（3-13）</w:t>
      </w:r>
    </w:p>
    <w:p w14:paraId="50B6217E">
      <w:pPr>
        <w:ind w:firstLine="1200" w:firstLineChars="500"/>
        <w:rPr>
          <w:rFonts w:hint="eastAsia" w:hAnsi="DejaVu Math TeX Gyre" w:eastAsia="宋体" w:cstheme="minorBidi"/>
          <w:i w:val="0"/>
          <w:sz w:val="24"/>
          <w:szCs w:val="24"/>
          <w:lang w:val="en-US" w:eastAsia="en-US" w:bidi="ar-SA"/>
        </w:rPr>
      </w:pPr>
      <w:r>
        <w:t>式中：</w:t>
      </w:r>
      <m:oMath>
        <m:sSub>
          <m:sSubPr/>
          <m:e>
            <m:r>
              <m:rPr/>
              <m:t>f</m:t>
            </m:r>
          </m:e>
          <m:sub>
            <m:r>
              <m:rPr/>
              <m:t>1X</m:t>
            </m:r>
          </m:sub>
        </m:sSub>
      </m:oMath>
      <w:r>
        <w:t xml:space="preserve"> 为一倍转频；</w:t>
      </w:r>
      <m:oMath>
        <m:sSub>
          <m:sSubPr/>
          <m:e>
            <m:r>
              <m:rPr/>
              <m:t>f</m:t>
            </m:r>
          </m:e>
          <m:sub>
            <m:r>
              <m:rPr/>
              <m:t>mX</m:t>
            </m:r>
          </m:sub>
        </m:sSub>
      </m:oMath>
      <w:r>
        <w:t xml:space="preserve"> 为 m 倍转频；</w:t>
      </w:r>
      <m:oMath>
        <m:sSub>
          <m:sSubPr/>
          <m:e>
            <m:r>
              <m:rPr/>
              <m:t>A</m:t>
            </m:r>
          </m:e>
          <m:sub>
            <m:r>
              <m:rPr/>
              <m:t>mX</m:t>
            </m:r>
          </m:sub>
        </m:sSub>
      </m:oMath>
      <w:r>
        <w:t xml:space="preserve"> 为 m 倍频幅值。本文倍频幅值取理论倍频 ±5 Hz 范围内的最大频谱幅值，倍频邻域能量取该频带内各频点幅值平方之和。±5 Hz 邻域约覆盖理论倍频左右各一个 FFT 频点，用于降低转速轻微波动和谱线偏移的影响。</w:t>
      </w:r>
    </w:p>
    <w:p w14:paraId="398E5A0A">
      <w:pPr>
        <w:ind w:firstLine="480" w:firstLineChars="200"/>
        <w:rPr>
          <w:rFonts w:ascii="宋体" w:hAnsi="宋体" w:eastAsia="宋体"/>
          <w:sz w:val="24"/>
          <w:szCs w:val="24"/>
        </w:rPr>
      </w:pPr>
      <w:r>
        <w:t>考虑到实际信号中转速可能存在轻微波动，若只提取单一频点幅值，可能受到谱线偏移影响。因此，本文同时提取倍频邻域能量，计算式为：</w:t>
      </w:r>
    </w:p>
    <w:p w14:paraId="429D1752">
      <w:pPr>
        <w:ind w:firstLine="480" w:firstLineChars="200"/>
        <w:jc w:val="center"/>
        <w:rPr>
          <w:rFonts w:hint="eastAsia" w:hAnsi="DejaVu Math TeX Gyre" w:eastAsia="宋体" w:cstheme="minorBidi"/>
          <w:i w:val="0"/>
          <w:sz w:val="24"/>
          <w:szCs w:val="24"/>
          <w:lang w:val="en-US" w:eastAsia="en-US" w:bidi="ar-SA"/>
        </w:rPr>
      </w:pPr>
      <m:oMath>
        <m:sSub>
          <m:sSubPr/>
          <m:e>
            <m:r>
              <m:rPr/>
              <m:t>E</m:t>
            </m:r>
          </m:e>
          <m:sub>
            <m:r>
              <m:rPr/>
              <m:t>mX</m:t>
            </m:r>
          </m:sub>
        </m:sSub>
        <m:r>
          <m:rPr/>
          <m:t>=</m:t>
        </m:r>
        <m:sSub>
          <m:sSubPr/>
          <m:e>
            <m:r>
              <m:rPr/>
              <m:t>Σ</m:t>
            </m:r>
          </m:e>
          <m:sub>
            <m:r>
              <m:rPr/>
              <m:t>|f −</m:t>
            </m:r>
            <m:sSub>
              <m:sSubPr/>
              <m:e>
                <m:r>
                  <m:rPr/>
                  <m:t>f</m:t>
                </m:r>
              </m:e>
              <m:sub>
                <m:r>
                  <m:rPr/>
                  <m:t>mX</m:t>
                </m:r>
              </m:sub>
            </m:sSub>
            <m:r>
              <m:rPr/>
              <m:t>| ≤ 5 Hz</m:t>
            </m:r>
          </m:sub>
        </m:sSub>
        <m:sSup>
          <m:sSupPr/>
          <m:e>
            <m:r>
              <m:rPr/>
              <m:t>|X(f)|</m:t>
            </m:r>
          </m:e>
          <m:sup>
            <m:r>
              <m:rPr/>
              <m:t>2</m:t>
            </m:r>
          </m:sup>
        </m:sSup>
        <m:r>
          <m:rPr/>
          <m:t>,   m = 1,2,3</m:t>
        </m:r>
      </m:oMath>
      <w:r>
        <w:t>（3-14）</w:t>
      </w:r>
    </w:p>
    <w:p w14:paraId="1032A130">
      <w:pPr>
        <w:rPr>
          <w:rFonts w:hint="eastAsia" w:hAnsi="DejaVu Math TeX Gyre" w:eastAsia="宋体" w:cstheme="minorBidi"/>
          <w:i w:val="0"/>
          <w:sz w:val="24"/>
          <w:szCs w:val="24"/>
          <w:lang w:val="en-US" w:eastAsia="en-US" w:bidi="ar-SA"/>
        </w:rPr>
      </w:pPr>
      <w:r>
        <w:t>式中：</w:t>
      </w:r>
      <m:oMath>
        <m:sSub>
          <m:sSubPr/>
          <m:e>
            <m:r>
              <m:rPr/>
              <m:t>E</m:t>
            </m:r>
          </m:e>
          <m:sub>
            <m:r>
              <m:rPr/>
              <m:t>mX</m:t>
            </m:r>
          </m:sub>
        </m:sSub>
      </m:oMath>
      <w:r>
        <w:t xml:space="preserve"> 为 m 倍频邻域能量；</w:t>
      </w:r>
      <m:oMath>
        <m:r>
          <m:rPr/>
          <m:t>X(f)</m:t>
        </m:r>
      </m:oMath>
      <w:r>
        <w:t>为频谱幅值。邻域能量比单点幅值更稳健，能够降低转速估计误差和频谱分辨率变化对特征的影响。</w:t>
      </w:r>
    </w:p>
    <w:p w14:paraId="60AF2152">
      <w:pPr>
        <w:ind w:firstLine="480" w:firstLineChars="200"/>
        <w:rPr>
          <w:rFonts w:hint="eastAsia" w:hAnsi="DejaVu Math TeX Gyre" w:eastAsia="宋体" w:cstheme="minorBidi"/>
          <w:i w:val="0"/>
          <w:sz w:val="24"/>
          <w:szCs w:val="24"/>
          <w:lang w:val="en-US" w:eastAsia="en-US" w:bidi="ar-SA"/>
        </w:rPr>
      </w:pPr>
      <w:r>
        <w:t>频带能量用于描述不同频率范围内振动能量分布。本文将频带划分为 10-500 Hz、500-3000 Hz 和 3000-8000 Hz 三个范围，并采用能量占比而非绝对能量作为模型输入。计算式为：</w:t>
      </w:r>
    </w:p>
    <w:p w14:paraId="1E1DF09C">
      <w:pPr>
        <w:ind w:firstLine="720" w:firstLineChars="300"/>
        <w:jc w:val="center"/>
        <w:rPr>
          <w:rFonts w:hint="eastAsia" w:hAnsi="DejaVu Math TeX Gyre" w:eastAsia="宋体" w:cstheme="minorBidi"/>
          <w:i w:val="0"/>
          <w:sz w:val="24"/>
          <w:szCs w:val="24"/>
          <w:lang w:val="en-US" w:eastAsia="en-US" w:bidi="ar-SA"/>
        </w:rPr>
      </w:pPr>
      <m:oMath>
        <m:sSub>
          <m:sSubPr/>
          <m:e>
            <m:r>
              <m:rPr/>
              <m:t>R</m:t>
            </m:r>
          </m:e>
          <m:sub>
            <m:r>
              <m:rPr/>
              <m:t>band</m:t>
            </m:r>
          </m:sub>
        </m:sSub>
        <m:r>
          <m:rPr/>
          <m:t>(a,b) =</m:t>
        </m:r>
        <m:f>
          <m:fPr/>
          <m:num>
            <m:sSub>
              <m:sSubPr/>
              <m:e>
                <m:r>
                  <m:rPr/>
                  <m:t>Σ</m:t>
                </m:r>
              </m:e>
              <m:sub>
                <m:r>
                  <m:rPr/>
                  <m:t>a ≤ f &lt; b</m:t>
                </m:r>
              </m:sub>
            </m:sSub>
            <m:sSup>
              <m:sSupPr/>
              <m:e>
                <m:r>
                  <m:rPr/>
                  <m:t>|X(f)|</m:t>
                </m:r>
              </m:e>
              <m:sup>
                <m:r>
                  <m:rPr/>
                  <m:t>2</m:t>
                </m:r>
              </m:sup>
            </m:sSup>
          </m:num>
          <m:den>
            <m:sSub>
              <m:sSubPr/>
              <m:e>
                <m:r>
                  <m:rPr/>
                  <m:t>Σ</m:t>
                </m:r>
              </m:e>
              <m:sub>
                <m:r>
                  <m:rPr/>
                  <m:t>0 ≤ f ≤ 8000</m:t>
                </m:r>
              </m:sub>
            </m:sSub>
            <m:sSup>
              <m:sSupPr/>
              <m:e>
                <m:r>
                  <m:rPr/>
                  <m:t>|X(f)|</m:t>
                </m:r>
              </m:e>
              <m:sup>
                <m:r>
                  <m:rPr/>
                  <m:t>2</m:t>
                </m:r>
              </m:sup>
            </m:sSup>
          </m:den>
        </m:f>
      </m:oMath>
      <w:r>
        <w:t>（3-15）</w:t>
      </w:r>
    </w:p>
    <w:p w14:paraId="73C8AF88">
      <w:pPr>
        <w:ind w:firstLine="480" w:firstLineChars="200"/>
        <w:rPr>
          <w:rFonts w:hint="eastAsia" w:hAnsi="DejaVu Math TeX Gyre" w:eastAsia="宋体" w:cstheme="minorBidi"/>
          <w:i w:val="0"/>
          <w:sz w:val="24"/>
          <w:szCs w:val="24"/>
          <w:lang w:val="en-US" w:eastAsia="en-US" w:bidi="ar-SA"/>
        </w:rPr>
      </w:pPr>
      <w:r>
        <w:t>式中：</w:t>
      </w:r>
      <m:oMath>
        <m:sSub>
          <m:sSubPr/>
          <m:e>
            <m:r>
              <m:rPr/>
              <m:t>R</m:t>
            </m:r>
          </m:e>
          <m:sub>
            <m:r>
              <m:rPr/>
              <m:t>band</m:t>
            </m:r>
          </m:sub>
        </m:sSub>
        <m:r>
          <m:rPr/>
          <m:t>(a,b)</m:t>
        </m:r>
      </m:oMath>
      <w:r>
        <w:t xml:space="preserve"> 为频带</w:t>
      </w:r>
      <w:r>
        <w:rPr>
          <w:rFonts w:hint="default"/>
          <w:lang w:val="en-US"/>
        </w:rPr>
        <w:t>(a,b)</w:t>
      </w:r>
      <w:r>
        <w:t>内的能量占比；X(f) 为频谱幅值。最终特征筛选后，低频、中频和高频能量占比均被保留。</w:t>
      </w:r>
    </w:p>
    <w:p w14:paraId="09B628A0">
      <w:pPr>
        <w:pStyle w:val="4"/>
      </w:pPr>
      <w:r>
        <w:rPr>
          <w:rFonts w:ascii="宋体" w:hAnsi="宋体" w:eastAsia="宋体"/>
          <w:sz w:val="22"/>
        </w:rPr>
        <w:t>3.4 小波包能量特征提取</w:t>
      </w:r>
    </w:p>
    <w:p w14:paraId="5D09BE25">
      <w:pPr>
        <w:ind w:firstLine="480" w:firstLineChars="200"/>
        <w:rPr>
          <w:sz w:val="24"/>
          <w:szCs w:val="24"/>
        </w:rPr>
      </w:pPr>
      <w:r>
        <w:t>水泵故障信号常具有非平稳特点，特别是轴承冲击、松动碰撞和汽蚀随机冲击会使信号能量随时间和频率发生变化。传统 FFT 能够得到整体频率分布，但不能直接反映不同时间局部的频带能量变化。小波包分析能够对信号进行多层频带分解，适合描述非平稳信号在不同频带中的能量分布。</w:t>
      </w:r>
    </w:p>
    <w:p w14:paraId="4DEE8913">
      <w:pPr>
        <w:ind w:firstLine="480" w:firstLineChars="200"/>
        <w:rPr>
          <w:rFonts w:ascii="宋体" w:hAnsi="宋体" w:eastAsia="宋体"/>
          <w:sz w:val="24"/>
          <w:szCs w:val="24"/>
        </w:rPr>
      </w:pPr>
      <w:r>
        <w:t>本文在特征构建过程中采用 db4 小波包三层分解获得各节点能量，并计算能量占比作为特征。采样频率为 20 kHz 时，三层小波包共有 8 个节点，单个节点对应的理论带宽约为 10000/8=1250 Hz。由于本文实现按程序分解节点编号输出，节点编号不简单等同于严格从低到高的频率排序，因此正文以“节点编号”命名特征，并给出理论带宽作为解释参考。</w:t>
      </w:r>
    </w:p>
    <w:p w14:paraId="06A28C25">
      <w:pPr>
        <w:jc w:val="center"/>
        <w:rPr>
          <w:i/>
        </w:rPr>
      </w:pPr>
      <m:oMathPara>
        <m:oMath>
          <m:sSub>
            <m:sSubPr/>
            <m:e>
              <m:r>
                <m:rPr/>
                <m:t>w</m:t>
              </m:r>
            </m:e>
            <m:sub>
              <m:r>
                <m:rPr/>
                <m:t>j+1,2p</m:t>
              </m:r>
            </m:sub>
          </m:sSub>
          <m:r>
            <m:rPr/>
            <m:t>[k] =</m:t>
          </m:r>
          <m:sSub>
            <m:sSubPr/>
            <m:e>
              <m:r>
                <m:rPr/>
                <m:t>Σ</m:t>
              </m:r>
            </m:e>
            <m:sub>
              <m:r>
                <m:rPr/>
                <m:t>l</m:t>
              </m:r>
            </m:sub>
          </m:sSub>
          <m:r>
            <m:rPr/>
            <m:t>h[l]</m:t>
          </m:r>
          <m:sSub>
            <m:sSubPr/>
            <m:e>
              <m:r>
                <m:rPr/>
                <m:t>w</m:t>
              </m:r>
            </m:e>
            <m:sub>
              <m:r>
                <m:rPr/>
                <m:t>j,p</m:t>
              </m:r>
            </m:sub>
          </m:sSub>
          <m:r>
            <m:rPr/>
            <m:t>[2k−l],</m:t>
          </m:r>
        </m:oMath>
      </m:oMathPara>
    </w:p>
    <w:p w14:paraId="0910536B">
      <w:pPr>
        <w:jc w:val="center"/>
        <w:rPr>
          <w:rFonts w:hint="eastAsia" w:hAnsi="DejaVu Math TeX Gyre" w:eastAsia="宋体" w:cstheme="minorBidi"/>
          <w:i w:val="0"/>
          <w:sz w:val="24"/>
          <w:szCs w:val="24"/>
          <w:lang w:val="en-US" w:eastAsia="en-US" w:bidi="ar-SA"/>
        </w:rPr>
      </w:pPr>
      <m:oMath>
        <m:sSub>
          <m:sSubPr/>
          <m:e>
            <m:r>
              <m:rPr/>
              <m:t>w</m:t>
            </m:r>
          </m:e>
          <m:sub>
            <m:r>
              <m:rPr/>
              <m:t>j+1,2p+1</m:t>
            </m:r>
          </m:sub>
        </m:sSub>
        <m:r>
          <m:rPr/>
          <m:t>[k] =</m:t>
        </m:r>
        <m:sSub>
          <m:sSubPr/>
          <m:e>
            <m:r>
              <m:rPr/>
              <m:t>Σ</m:t>
            </m:r>
          </m:e>
          <m:sub>
            <m:r>
              <m:rPr/>
              <m:t>l</m:t>
            </m:r>
          </m:sub>
        </m:sSub>
        <m:r>
          <m:rPr/>
          <m:t>g[l]</m:t>
        </m:r>
        <m:sSub>
          <m:sSubPr/>
          <m:e>
            <m:r>
              <m:rPr/>
              <m:t>w</m:t>
            </m:r>
          </m:e>
          <m:sub>
            <m:r>
              <m:rPr/>
              <m:t>j,p</m:t>
            </m:r>
          </m:sub>
        </m:sSub>
        <m:r>
          <m:rPr/>
          <m:t>[2k−l]</m:t>
        </m:r>
      </m:oMath>
      <w:r>
        <w:t>（3-16）</w:t>
      </w:r>
    </w:p>
    <w:p w14:paraId="5A0A87D0">
      <w:pPr>
        <w:rPr>
          <w:rFonts w:hint="eastAsia" w:hAnsi="DejaVu Math TeX Gyre" w:eastAsia="宋体" w:cstheme="minorBidi"/>
          <w:i w:val="0"/>
          <w:sz w:val="24"/>
          <w:szCs w:val="24"/>
          <w:lang w:val="en-US" w:eastAsia="en-US" w:bidi="ar-SA"/>
        </w:rPr>
      </w:pPr>
      <w:r>
        <w:t>式中：w_{j,p}[k] 为第 j 层第 p 个节点系数；h[l] 和 g[l] 分别为 db4 低通和高通分解滤波器系数。</w:t>
      </w:r>
    </w:p>
    <w:p w14:paraId="39D393B8">
      <w:pPr>
        <w:jc w:val="center"/>
        <w:rPr>
          <w:rFonts w:hint="eastAsia" w:hAnsi="DejaVu Math TeX Gyre" w:eastAsia="宋体" w:cstheme="minorBidi"/>
          <w:i w:val="0"/>
          <w:sz w:val="24"/>
          <w:szCs w:val="24"/>
          <w:lang w:val="en-US" w:eastAsia="en-US" w:bidi="ar-SA"/>
        </w:rPr>
      </w:pPr>
      <m:oMath>
        <m:sSub>
          <m:sSubPr/>
          <m:e>
            <m:r>
              <m:rPr/>
              <m:t>E</m:t>
            </m:r>
          </m:e>
          <m:sub>
            <m:r>
              <m:rPr/>
              <m:t>i</m:t>
            </m:r>
          </m:sub>
        </m:sSub>
        <m:r>
          <m:rPr/>
          <m:t>=</m:t>
        </m:r>
        <m:sSub>
          <m:sSubPr/>
          <m:e>
            <m:r>
              <m:rPr/>
              <m:t>Σ</m:t>
            </m:r>
          </m:e>
          <m:sub>
            <m:r>
              <m:rPr/>
              <m:t>k</m:t>
            </m:r>
          </m:sub>
        </m:sSub>
        <m:sSup>
          <m:sSupPr/>
          <m:e>
            <m:sSub>
              <m:sSubPr/>
              <m:e>
                <m:r>
                  <m:rPr/>
                  <m:t>w</m:t>
                </m:r>
              </m:e>
              <m:sub>
                <m:r>
                  <m:rPr/>
                  <m:t>i</m:t>
                </m:r>
              </m:sub>
            </m:sSub>
            <m:r>
              <m:rPr/>
              <m:t>[k]</m:t>
            </m:r>
          </m:e>
          <m:sup>
            <m:r>
              <m:rPr/>
              <m:t>2</m:t>
            </m:r>
          </m:sup>
        </m:sSup>
      </m:oMath>
      <w:r>
        <w:t>（3-17）</w:t>
      </w:r>
    </w:p>
    <w:p w14:paraId="147A594A">
      <w:pPr>
        <w:ind w:firstLine="720" w:firstLineChars="300"/>
        <w:jc w:val="center"/>
        <w:rPr>
          <w:rFonts w:hint="eastAsia" w:hAnsi="DejaVu Math TeX Gyre" w:eastAsia="宋体" w:cstheme="minorBidi"/>
          <w:i w:val="0"/>
          <w:sz w:val="24"/>
          <w:szCs w:val="24"/>
          <w:lang w:val="en-US" w:eastAsia="en-US" w:bidi="ar-SA"/>
        </w:rPr>
      </w:pPr>
      <m:oMath>
        <m:sSub>
          <m:sSubPr/>
          <m:e>
            <m:r>
              <m:rPr/>
              <m:t>P</m:t>
            </m:r>
          </m:e>
          <m:sub>
            <m:r>
              <m:rPr/>
              <m:t>i</m:t>
            </m:r>
          </m:sub>
        </m:sSub>
        <m:r>
          <m:rPr/>
          <m:t>=</m:t>
        </m:r>
        <m:f>
          <m:fPr/>
          <m:num>
            <m:sSub>
              <m:sSubPr/>
              <m:e>
                <m:r>
                  <m:rPr/>
                  <m:t>E</m:t>
                </m:r>
              </m:e>
              <m:sub>
                <m:r>
                  <m:rPr/>
                  <m:t>i</m:t>
                </m:r>
              </m:sub>
            </m:sSub>
          </m:num>
          <m:den>
            <m:sSubSup>
              <m:sSubSupPr/>
              <m:e>
                <m:r>
                  <m:rPr/>
                  <m:t>Σ</m:t>
                </m:r>
              </m:e>
              <m:sub>
                <m:r>
                  <m:rPr/>
                  <m:t>r=0</m:t>
                </m:r>
              </m:sub>
              <m:sup>
                <m:r>
                  <m:rPr/>
                  <m:t>7</m:t>
                </m:r>
              </m:sup>
            </m:sSubSup>
            <m:sSub>
              <m:sSubPr/>
              <m:e>
                <m:r>
                  <m:rPr/>
                  <m:t>E</m:t>
                </m:r>
              </m:e>
              <m:sub>
                <m:r>
                  <m:rPr/>
                  <m:t>r</m:t>
                </m:r>
              </m:sub>
            </m:sSub>
          </m:den>
        </m:f>
        <m:r>
          <m:rPr/>
          <m:t>,</m:t>
        </m:r>
        <m:sSub>
          <m:sSubPr/>
          <m:e>
            <m:r>
              <m:rPr/>
              <m:t>H</m:t>
            </m:r>
          </m:e>
          <m:sub>
            <m:r>
              <m:rPr/>
              <m:t>wp</m:t>
            </m:r>
          </m:sub>
        </m:sSub>
        <m:r>
          <m:rPr/>
          <m:t>= −</m:t>
        </m:r>
        <m:sSubSup>
          <m:sSubSupPr/>
          <m:e>
            <m:r>
              <m:rPr/>
              <m:t>Σ</m:t>
            </m:r>
          </m:e>
          <m:sub>
            <m:r>
              <m:rPr/>
              <m:t>i=0</m:t>
            </m:r>
          </m:sub>
          <m:sup>
            <m:r>
              <m:rPr/>
              <m:t>7</m:t>
            </m:r>
          </m:sup>
        </m:sSubSup>
        <m:sSub>
          <m:sSubPr/>
          <m:e>
            <m:r>
              <m:rPr/>
              <m:t>P</m:t>
            </m:r>
          </m:e>
          <m:sub>
            <m:r>
              <m:rPr/>
              <m:t>i</m:t>
            </m:r>
          </m:sub>
        </m:sSub>
        <m:r>
          <m:rPr/>
          <m:t>ln(</m:t>
        </m:r>
        <m:sSub>
          <m:sSubPr/>
          <m:e>
            <m:r>
              <m:rPr/>
              <m:t>P</m:t>
            </m:r>
          </m:e>
          <m:sub>
            <m:r>
              <m:rPr/>
              <m:t>i</m:t>
            </m:r>
          </m:sub>
        </m:sSub>
        <m:r>
          <m:rPr/>
          <m:t>)</m:t>
        </m:r>
      </m:oMath>
      <w:r>
        <w:t>（3-18）</w:t>
      </w:r>
    </w:p>
    <w:p w14:paraId="45F7CAFD">
      <w:pPr>
        <w:ind w:firstLine="480" w:firstLineChars="200"/>
      </w:pPr>
      <w:r>
        <w:t>式中：Ei 为第 i 个小波包节点能量；Pi 为第 i 个节点能量占比；Hwp 为小波包能量熵。</w:t>
      </w:r>
    </w:p>
    <w:p w14:paraId="7AB560B6">
      <w:pPr>
        <w:ind w:firstLine="480" w:firstLineChars="200"/>
        <w:rPr>
          <w:rFonts w:hint="eastAsia" w:eastAsia="宋体"/>
          <w:sz w:val="24"/>
          <w:szCs w:val="24"/>
          <w:lang w:eastAsia="zh-CN"/>
        </w:rPr>
      </w:pPr>
      <w:r>
        <w:t>在已完成实验中，初始提取 8 个小波包节点能量占比和小波包能量熵。经训练集常数列删除、相关性筛选和随机森林重要性筛选后，最终保留第 0、1、2、3、5、6、7 节点能量占比，共 7 个小波包特征。该结果说明非平稳频带能量分布能够补充普通频谱特征。</w:t>
      </w:r>
    </w:p>
    <w:p w14:paraId="692FA529">
      <w:pPr>
        <w:pStyle w:val="4"/>
      </w:pPr>
      <w:r>
        <w:rPr>
          <w:rFonts w:ascii="宋体" w:hAnsi="宋体" w:eastAsia="宋体"/>
          <w:sz w:val="22"/>
        </w:rPr>
        <w:t>3.5 包络谱特征提取</w:t>
      </w:r>
    </w:p>
    <w:p w14:paraId="159147C8">
      <w:pPr>
        <w:ind w:firstLine="480" w:firstLineChars="200"/>
        <w:rPr>
          <w:sz w:val="24"/>
          <w:szCs w:val="24"/>
        </w:rPr>
      </w:pPr>
      <w:r>
        <w:t>包络谱分析主要用于提取冲击调制信息，常用于轴承故障和其他冲击类故障诊断。当轴承局部损伤或结构松动产生周期性冲击时，冲击会激发高频载波，同时低频故障周期会对高频振动形成幅值调制。直接观察普通频谱时，调制信息可能被高频共振和噪声掩盖，而包络分析能够突出冲击包络变化。</w:t>
      </w:r>
    </w:p>
    <w:p w14:paraId="7F29D940">
      <w:pPr>
        <w:ind w:firstLine="480" w:firstLineChars="200"/>
        <w:rPr>
          <w:rFonts w:ascii="宋体" w:hAnsi="宋体" w:eastAsia="宋体"/>
          <w:sz w:val="24"/>
          <w:szCs w:val="24"/>
        </w:rPr>
      </w:pPr>
      <w:r>
        <w:t>本文首先选取 3000-8000 Hz 高频共振候选频带进行带通滤波，再通过 Hilbert 变换获得解析信号并提取包络序列，随后对包络序列进行频谱分析。3000-8000 Hz 是包络解调前的带通范围；Hilbert 变换后，本文关注的是包络谱 0-3000 Hz 内的低频调制成分。最终保留包络峭度、包络峰值因子、包络谱主频幅值、包络谱 0-100 Hz 能量占比、包络谱 1000-3000 Hz 能量占比和包络谱 1X 邻域能量等特征。</w:t>
      </w:r>
    </w:p>
    <w:p w14:paraId="7D955207">
      <w:pPr>
        <w:ind w:firstLine="480" w:firstLineChars="200"/>
        <w:jc w:val="center"/>
        <w:rPr>
          <w:rFonts w:hint="eastAsia" w:hAnsi="DejaVu Math TeX Gyre" w:eastAsia="宋体" w:cstheme="minorBidi"/>
          <w:i w:val="0"/>
          <w:sz w:val="24"/>
          <w:szCs w:val="24"/>
          <w:lang w:val="en-US" w:eastAsia="en-US" w:bidi="ar-SA"/>
        </w:rPr>
      </w:pPr>
      <m:oMath>
        <m:sSub>
          <m:sSubPr/>
          <m:e>
            <m:r>
              <m:rPr/>
              <m:t>x</m:t>
            </m:r>
          </m:e>
          <m:sub>
            <m:r>
              <m:rPr/>
              <m:t>h</m:t>
            </m:r>
          </m:sub>
        </m:sSub>
        <m:r>
          <m:rPr/>
          <m:t>[n] = filtfilt{</m:t>
        </m:r>
        <m:sSub>
          <m:sSubPr/>
          <m:e>
            <m:r>
              <m:rPr/>
              <m:t>B</m:t>
            </m:r>
          </m:e>
          <m:sub>
            <m:r>
              <m:rPr/>
              <m:t>bp</m:t>
            </m:r>
          </m:sub>
        </m:sSub>
        <m:r>
          <m:rPr/>
          <m:t>(3000 Hz, 8000 Hz, order=4),</m:t>
        </m:r>
        <m:sSub>
          <m:sSubPr/>
          <m:e>
            <m:r>
              <m:rPr/>
              <m:t>x</m:t>
            </m:r>
          </m:e>
          <m:sub>
            <m:r>
              <m:rPr/>
              <m:t>b</m:t>
            </m:r>
          </m:sub>
        </m:sSub>
        <m:r>
          <m:rPr/>
          <m:t>[n] }</m:t>
        </m:r>
      </m:oMath>
      <w:r>
        <w:t>（3-19）</w:t>
      </w:r>
    </w:p>
    <w:p w14:paraId="5D92F10E">
      <w:pPr>
        <w:jc w:val="center"/>
        <w:rPr>
          <w:rFonts w:hint="eastAsia" w:hAnsi="DejaVu Math TeX Gyre" w:eastAsia="宋体" w:cstheme="minorBidi"/>
          <w:i w:val="0"/>
          <w:sz w:val="24"/>
          <w:szCs w:val="24"/>
          <w:lang w:val="en-US" w:eastAsia="en-US" w:bidi="ar-SA"/>
        </w:rPr>
      </w:pPr>
      <m:oMath>
        <m:r>
          <m:rPr/>
          <m:t>z[n] =</m:t>
        </m:r>
        <m:sSub>
          <m:sSubPr/>
          <m:e>
            <m:r>
              <m:rPr/>
              <m:t>x</m:t>
            </m:r>
          </m:e>
          <m:sub>
            <m:r>
              <m:rPr/>
              <m:t>h</m:t>
            </m:r>
          </m:sub>
        </m:sSub>
        <m:r>
          <m:rPr/>
          <m:t>[n] + jℋ{</m:t>
        </m:r>
        <m:sSub>
          <m:sSubPr/>
          <m:e>
            <m:r>
              <m:rPr/>
              <m:t>x</m:t>
            </m:r>
          </m:e>
          <m:sub>
            <m:r>
              <m:rPr/>
              <m:t>h</m:t>
            </m:r>
          </m:sub>
        </m:sSub>
        <m:r>
          <m:rPr/>
          <m:t>[n]},    e[n] = |z[n]|</m:t>
        </m:r>
      </m:oMath>
      <w:r>
        <w:t>（3-20）</w:t>
      </w:r>
    </w:p>
    <w:p w14:paraId="3D52A819">
      <w:pPr>
        <w:ind w:firstLine="480" w:firstLineChars="200"/>
        <w:rPr>
          <w:rFonts w:hint="eastAsia" w:hAnsi="DejaVu Math TeX Gyre" w:eastAsia="宋体" w:cstheme="minorBidi"/>
          <w:i w:val="0"/>
          <w:sz w:val="24"/>
          <w:szCs w:val="24"/>
          <w:lang w:val="en-US" w:eastAsia="en-US" w:bidi="ar-SA"/>
        </w:rPr>
      </w:pPr>
      <w:r>
        <w:t>式中：</w:t>
      </w:r>
      <m:oMath>
        <m:sSub>
          <m:sSubPr/>
          <m:e>
            <m:r>
              <m:rPr/>
              <m:t>x</m:t>
            </m:r>
          </m:e>
          <m:sub>
            <m:r>
              <m:rPr/>
              <m:t>h</m:t>
            </m:r>
          </m:sub>
        </m:sSub>
        <m:r>
          <m:rPr/>
          <m:t xml:space="preserve">[n] </m:t>
        </m:r>
      </m:oMath>
      <w:r>
        <w:t>为高频共振带滤波信号；H{.} 为 Hilbert 变换；z[n] 为解析信号；e[n] 为包络信号。</w:t>
      </w:r>
    </w:p>
    <w:p w14:paraId="53C15530">
      <w:pPr>
        <w:ind w:firstLine="720" w:firstLineChars="300"/>
        <w:jc w:val="center"/>
        <w:rPr>
          <w:rFonts w:hint="eastAsia" w:hAnsi="DejaVu Math TeX Gyre" w:eastAsia="宋体" w:cstheme="minorBidi"/>
          <w:i w:val="0"/>
          <w:sz w:val="24"/>
          <w:szCs w:val="24"/>
          <w:lang w:val="en-US" w:eastAsia="en-US" w:bidi="ar-SA"/>
        </w:rPr>
      </w:pPr>
      <m:oMath>
        <m:sSub>
          <m:sSubPr/>
          <m:e>
            <m:r>
              <m:rPr/>
              <m:t>R</m:t>
            </m:r>
          </m:e>
          <m:sub>
            <m:r>
              <m:rPr/>
              <m:t>env</m:t>
            </m:r>
          </m:sub>
        </m:sSub>
        <m:r>
          <m:rPr/>
          <m:t>(a,b) =</m:t>
        </m:r>
        <m:f>
          <m:fPr/>
          <m:num>
            <m:sSub>
              <m:sSubPr/>
              <m:e>
                <m:r>
                  <m:rPr/>
                  <m:t>Σ</m:t>
                </m:r>
              </m:e>
              <m:sub>
                <m:r>
                  <m:rPr/>
                  <m:t>a ≤ f &lt; b</m:t>
                </m:r>
              </m:sub>
            </m:sSub>
            <m:sSup>
              <m:sSupPr/>
              <m:e>
                <m:r>
                  <m:rPr/>
                  <m:t>|E(f)|</m:t>
                </m:r>
              </m:e>
              <m:sup>
                <m:r>
                  <m:rPr/>
                  <m:t>2</m:t>
                </m:r>
              </m:sup>
            </m:sSup>
          </m:num>
          <m:den>
            <m:sSub>
              <m:sSubPr/>
              <m:e>
                <m:r>
                  <m:rPr/>
                  <m:t>Σ</m:t>
                </m:r>
              </m:e>
              <m:sub>
                <m:r>
                  <m:rPr/>
                  <m:t>0 ≤ f ≤ 3000</m:t>
                </m:r>
              </m:sub>
            </m:sSub>
            <m:sSup>
              <m:sSupPr/>
              <m:e>
                <m:r>
                  <m:rPr/>
                  <m:t>|E(f)|</m:t>
                </m:r>
              </m:e>
              <m:sup>
                <m:r>
                  <m:rPr/>
                  <m:t>2</m:t>
                </m:r>
              </m:sup>
            </m:sSup>
          </m:den>
        </m:f>
      </m:oMath>
      <w:r>
        <w:t>（3-21）</w:t>
      </w:r>
    </w:p>
    <w:p w14:paraId="2DFD8C13">
      <w:pPr>
        <w:ind w:firstLine="480" w:firstLineChars="200"/>
        <w:rPr>
          <w:rFonts w:hint="eastAsia" w:hAnsi="DejaVu Math TeX Gyre" w:eastAsia="宋体" w:cstheme="minorBidi"/>
          <w:i w:val="0"/>
          <w:sz w:val="24"/>
          <w:szCs w:val="24"/>
          <w:lang w:val="en-US" w:eastAsia="en-US" w:bidi="ar-SA"/>
        </w:rPr>
      </w:pPr>
      <w:r>
        <w:t>式中：E(f) 为包络信号 e[n] 去均值后的频谱幅值；R_env(a,b) 为包络谱低频段能量占比。本文低频段包括 0-100 Hz、100-500 Hz、500-1000 Hz 和 1000-3000 Hz；其中包络谱能量计算排除 0 Hz 直流频点，0-100 Hz 指 0-100 Hz 范围内的非直流能量占比。包络谱 1X 邻域能量同样以机械转频为中心，在 f_r±5 Hz 范围内计算包络频谱幅值平方和。</w:t>
      </w:r>
    </w:p>
    <w:p w14:paraId="7B5124F6">
      <w:pPr>
        <w:ind w:firstLine="480" w:firstLineChars="200"/>
        <w:rPr>
          <w:sz w:val="24"/>
          <w:szCs w:val="24"/>
        </w:rPr>
      </w:pPr>
      <w:r>
        <w:t>从机理上看，包络谱低频调制特征与轴承故障冲击、松动碰撞和汽蚀气泡破裂均有关系，因此它不一定只对应单一故障类别。但作为多维特征的一部分，包络峭度、包络峰值因子、包络谱低频能量占比和倍频邻域能量能够增强模型对冲击类和非平稳故障的识别能力。</w:t>
      </w:r>
    </w:p>
    <w:p w14:paraId="48A070AB">
      <w:pPr>
        <w:pStyle w:val="4"/>
      </w:pPr>
      <w:r>
        <w:rPr>
          <w:rFonts w:ascii="宋体" w:hAnsi="宋体" w:eastAsia="宋体"/>
          <w:sz w:val="22"/>
        </w:rPr>
        <w:t>3.6 诊断模型与评价指标</w:t>
      </w:r>
    </w:p>
    <w:p w14:paraId="6CB26767">
      <w:pPr>
        <w:ind w:firstLine="480" w:firstLineChars="200"/>
        <w:rPr>
          <w:sz w:val="24"/>
          <w:szCs w:val="24"/>
        </w:rPr>
      </w:pPr>
      <w:r>
        <w:t>在完成特征提取、常数列删除、相关性筛选和训练集随机森林重要性筛选后，每个振动片段被表示为一个 25 维关键特征向量，故障类别作为样本标签。本文选取 BP 神经网络、SVM 和随机森林三类模型进行诊断对比。其中，BP 神经网络用于继承前期研究中的神经网络方法，SVM 作为传统核函数机器学习方法，随机森林则用于兼顾总体识别效果、训练稳定性和特征重要性解释。</w:t>
      </w:r>
    </w:p>
    <w:p w14:paraId="7A3E4A3D">
      <w:pPr>
        <w:ind w:firstLine="480" w:firstLineChars="200"/>
        <w:rPr>
          <w:sz w:val="24"/>
          <w:szCs w:val="24"/>
        </w:rPr>
      </w:pPr>
      <w:r>
        <w:rPr>
          <w:rFonts w:ascii="宋体" w:hAnsi="宋体" w:eastAsia="宋体"/>
          <w:sz w:val="24"/>
          <w:szCs w:val="24"/>
        </w:rPr>
        <w:t>BP 神经网络是一种前馈神经网络，通过误差反向传播调整网络权值和偏置，能够学习输入特征与故障类别之间的非线性映射关系。本文采用两层隐藏层结构，隐藏层节点数分别为 64 和 32，激活函数为 ReLU，优化器为 Adam，并采用 early stopping 防止过拟合。BP 神经网络的优点是能够处理非线性分类问题，缺点是对参数设置、初始权值和样本分布较为敏感。</w:t>
      </w:r>
    </w:p>
    <w:p w14:paraId="3542A280">
      <w:pPr>
        <w:ind w:firstLine="480" w:firstLineChars="200"/>
        <w:rPr>
          <w:sz w:val="24"/>
          <w:szCs w:val="24"/>
        </w:rPr>
      </w:pPr>
      <w:r>
        <w:rPr>
          <w:rFonts w:ascii="宋体" w:hAnsi="宋体" w:eastAsia="宋体"/>
          <w:sz w:val="24"/>
          <w:szCs w:val="24"/>
        </w:rPr>
        <w:t>SVM 采用径向基函数核，将原始特征映射到高维空间，以处理非线性分类边界。SVM 在小样本和中等规模特征数据中具有较好理论基础，但核函数 SVM 在样本数量较大时训练计算量较高。本文在实验中对 SVM 采用分层抽样训练方式，抽取 16000 条训练样本，并设置类别平衡参数，以降低类别不均衡和训练计算量对模型的影响。</w:t>
      </w:r>
    </w:p>
    <w:p w14:paraId="062EE061">
      <w:pPr>
        <w:ind w:firstLine="480" w:firstLineChars="200"/>
        <w:rPr>
          <w:sz w:val="24"/>
          <w:szCs w:val="24"/>
        </w:rPr>
      </w:pPr>
      <w:r>
        <w:rPr>
          <w:rFonts w:ascii="宋体" w:hAnsi="宋体" w:eastAsia="宋体"/>
          <w:sz w:val="24"/>
          <w:szCs w:val="24"/>
        </w:rPr>
        <w:t>随机森林由多棵决策树组成，通过自助采样和特征随机选择构建多个基学习器，并通过投票方式输出最终分类结果。随机森林对特征尺度不敏感，抗噪声能力较好，能够处理非线性分类问题，并可输出特征重要性。对于本文这种由多类人工特征构成的诊断任务，随机森林不仅能给出较稳定的分类结果，还便于从特征重要性角度解释故障机理。</w:t>
      </w:r>
    </w:p>
    <w:p w14:paraId="105684AF">
      <w:pPr>
        <w:ind w:firstLine="480" w:firstLineChars="200"/>
        <w:rPr>
          <w:rFonts w:ascii="宋体" w:hAnsi="宋体" w:eastAsia="宋体"/>
          <w:sz w:val="24"/>
          <w:szCs w:val="24"/>
        </w:rPr>
      </w:pPr>
      <w:r>
        <w:t>本文采用准确率、召回率、精确率、F1 值、平衡准确率、宏平均 F1、加权 F1 和混淆矩阵评价模型性能。对多分类任务，TP、FP、FN 均按“一类对其余类”的方式分别针对每一类别计算。准确率反映整体分类正确比例，但在类别样本不均衡时可能掩盖少数类识别不足；平衡准确率对各类别召回率取平均，能够减轻类别数量差异影响；宏平均 F1 对每一类赋予相同权重，更适合评价多类别故障诊断的均衡性能；加权 F1 按样本数量加权，反映模型在总体样本分布下的综合表现。混淆矩阵能够展示不同故障类别之间的误判关系，是分析模型薄弱环节的重要依据。</w:t>
      </w:r>
    </w:p>
    <w:p w14:paraId="514FABC6">
      <w:pPr>
        <w:jc w:val="center"/>
        <w:rPr>
          <w:rFonts w:hint="eastAsia" w:hAnsi="DejaVu Math TeX Gyre" w:eastAsia="宋体" w:cstheme="minorBidi"/>
          <w:i w:val="0"/>
          <w:sz w:val="24"/>
          <w:szCs w:val="24"/>
          <w:lang w:val="en-US" w:eastAsia="en-US" w:bidi="ar-SA"/>
        </w:rPr>
      </w:pPr>
      <m:oMath>
        <m:r>
          <m:rPr/>
          <m:t>Accuracy =</m:t>
        </m:r>
        <m:f>
          <m:fPr/>
          <m:num>
            <m:sSubSup>
              <m:sSubSupPr/>
              <m:e>
                <m:r>
                  <m:rPr/>
                  <m:t>Σ</m:t>
                </m:r>
              </m:e>
              <m:sub>
                <m:r>
                  <m:rPr/>
                  <m:t>c=1</m:t>
                </m:r>
              </m:sub>
              <m:sup>
                <m:r>
                  <m:rPr/>
                  <m:t>C</m:t>
                </m:r>
              </m:sup>
            </m:sSubSup>
            <m:sSub>
              <m:sSubPr/>
              <m:e>
                <m:r>
                  <m:rPr/>
                  <m:t>TP</m:t>
                </m:r>
              </m:e>
              <m:sub>
                <m:r>
                  <m:rPr/>
                  <m:t>c</m:t>
                </m:r>
              </m:sub>
            </m:sSub>
          </m:num>
          <m:den>
            <m:r>
              <m:rPr/>
              <m:t>N</m:t>
            </m:r>
          </m:den>
        </m:f>
      </m:oMath>
      <w:r>
        <w:t>（3-22）</w:t>
      </w:r>
    </w:p>
    <w:p w14:paraId="3C479EBA">
      <w:pPr>
        <w:jc w:val="center"/>
        <w:rPr>
          <w:rFonts w:hint="eastAsia" w:hAnsi="DejaVu Math TeX Gyre" w:eastAsia="宋体" w:cstheme="minorBidi"/>
          <w:i w:val="0"/>
          <w:sz w:val="24"/>
          <w:szCs w:val="24"/>
          <w:lang w:val="en-US" w:eastAsia="en-US" w:bidi="ar-SA"/>
        </w:rPr>
      </w:pPr>
      <m:oMath>
        <m:sSub>
          <m:sSubPr/>
          <m:e>
            <m:r>
              <m:rPr/>
              <m:t>R</m:t>
            </m:r>
          </m:e>
          <m:sub>
            <m:r>
              <m:rPr/>
              <m:t>c</m:t>
            </m:r>
          </m:sub>
        </m:sSub>
        <m:r>
          <m:rPr/>
          <m:t>=</m:t>
        </m:r>
        <m:f>
          <m:fPr/>
          <m:num>
            <m:sSub>
              <m:sSubPr/>
              <m:e>
                <m:r>
                  <m:rPr/>
                  <m:t>TP</m:t>
                </m:r>
              </m:e>
              <m:sub>
                <m:r>
                  <m:rPr/>
                  <m:t>c</m:t>
                </m:r>
              </m:sub>
            </m:sSub>
          </m:num>
          <m:den>
            <m:sSub>
              <m:sSubPr/>
              <m:e>
                <m:r>
                  <m:rPr/>
                  <m:t>TP</m:t>
                </m:r>
              </m:e>
              <m:sub>
                <m:r>
                  <m:rPr/>
                  <m:t>c</m:t>
                </m:r>
              </m:sub>
            </m:sSub>
            <m:r>
              <m:rPr/>
              <m:t>+</m:t>
            </m:r>
            <m:sSub>
              <m:sSubPr/>
              <m:e>
                <m:r>
                  <m:rPr/>
                  <m:t>FN</m:t>
                </m:r>
              </m:e>
              <m:sub>
                <m:r>
                  <m:rPr/>
                  <m:t>c</m:t>
                </m:r>
              </m:sub>
            </m:sSub>
          </m:den>
        </m:f>
      </m:oMath>
      <w:r>
        <w:t>（3-23）</w:t>
      </w:r>
    </w:p>
    <w:p w14:paraId="2CAA14DE">
      <w:pPr>
        <w:jc w:val="center"/>
        <w:rPr>
          <w:rFonts w:hint="eastAsia" w:hAnsi="DejaVu Math TeX Gyre" w:eastAsia="宋体" w:cstheme="minorBidi"/>
          <w:i w:val="0"/>
          <w:sz w:val="24"/>
          <w:szCs w:val="24"/>
          <w:lang w:val="en-US" w:eastAsia="en-US" w:bidi="ar-SA"/>
        </w:rPr>
      </w:pPr>
      <m:oMath>
        <m:sSub>
          <m:sSubPr/>
          <m:e>
            <m:r>
              <m:rPr/>
              <m:t>P</m:t>
            </m:r>
          </m:e>
          <m:sub>
            <m:r>
              <m:rPr/>
              <m:t>c</m:t>
            </m:r>
          </m:sub>
        </m:sSub>
        <m:r>
          <m:rPr/>
          <m:t>=</m:t>
        </m:r>
        <m:f>
          <m:fPr/>
          <m:num>
            <m:sSub>
              <m:sSubPr/>
              <m:e>
                <m:r>
                  <m:rPr/>
                  <m:t>TP</m:t>
                </m:r>
              </m:e>
              <m:sub>
                <m:r>
                  <m:rPr/>
                  <m:t>c</m:t>
                </m:r>
              </m:sub>
            </m:sSub>
          </m:num>
          <m:den>
            <m:sSub>
              <m:sSubPr/>
              <m:e>
                <m:r>
                  <m:rPr/>
                  <m:t>TP</m:t>
                </m:r>
              </m:e>
              <m:sub>
                <m:r>
                  <m:rPr/>
                  <m:t>c</m:t>
                </m:r>
              </m:sub>
            </m:sSub>
            <m:r>
              <m:rPr/>
              <m:t>+</m:t>
            </m:r>
            <m:sSub>
              <m:sSubPr/>
              <m:e>
                <m:r>
                  <m:rPr/>
                  <m:t>FP</m:t>
                </m:r>
              </m:e>
              <m:sub>
                <m:r>
                  <m:rPr/>
                  <m:t>c</m:t>
                </m:r>
              </m:sub>
            </m:sSub>
          </m:den>
        </m:f>
      </m:oMath>
      <w:r>
        <w:t>（3-24）</w:t>
      </w:r>
    </w:p>
    <w:p w14:paraId="4B57DCFC">
      <w:pPr>
        <w:jc w:val="center"/>
        <w:rPr>
          <w:rFonts w:hint="eastAsia" w:hAnsi="DejaVu Math TeX Gyre" w:eastAsia="宋体" w:cstheme="minorBidi"/>
          <w:i w:val="0"/>
          <w:sz w:val="24"/>
          <w:szCs w:val="24"/>
          <w:lang w:val="en-US" w:eastAsia="en-US" w:bidi="ar-SA"/>
        </w:rPr>
      </w:pPr>
      <m:oMath>
        <m:sSub>
          <m:sSubPr/>
          <m:e>
            <m:r>
              <m:rPr/>
              <m:t>F1</m:t>
            </m:r>
          </m:e>
          <m:sub>
            <m:r>
              <m:rPr/>
              <m:t>c</m:t>
            </m:r>
          </m:sub>
        </m:sSub>
        <m:r>
          <m:rPr/>
          <m:t>=</m:t>
        </m:r>
        <m:f>
          <m:fPr/>
          <m:num>
            <m:r>
              <m:rPr/>
              <m:t>2 ×</m:t>
            </m:r>
            <m:sSub>
              <m:sSubPr/>
              <m:e>
                <m:r>
                  <m:rPr/>
                  <m:t>P</m:t>
                </m:r>
              </m:e>
              <m:sub>
                <m:r>
                  <m:rPr/>
                  <m:t>c</m:t>
                </m:r>
              </m:sub>
            </m:sSub>
            <m:r>
              <m:rPr/>
              <m:t>×</m:t>
            </m:r>
            <m:sSub>
              <m:sSubPr/>
              <m:e>
                <m:r>
                  <m:rPr/>
                  <m:t>R</m:t>
                </m:r>
              </m:e>
              <m:sub>
                <m:r>
                  <m:rPr/>
                  <m:t>c</m:t>
                </m:r>
              </m:sub>
            </m:sSub>
          </m:num>
          <m:den>
            <m:sSub>
              <m:sSubPr/>
              <m:e>
                <m:r>
                  <m:rPr/>
                  <m:t>P</m:t>
                </m:r>
              </m:e>
              <m:sub>
                <m:r>
                  <m:rPr/>
                  <m:t>c</m:t>
                </m:r>
              </m:sub>
            </m:sSub>
            <m:r>
              <m:rPr/>
              <m:t>+</m:t>
            </m:r>
            <m:sSub>
              <m:sSubPr/>
              <m:e>
                <m:r>
                  <m:rPr/>
                  <m:t>R</m:t>
                </m:r>
              </m:e>
              <m:sub>
                <m:r>
                  <m:rPr/>
                  <m:t>c</m:t>
                </m:r>
              </m:sub>
            </m:sSub>
          </m:den>
        </m:f>
      </m:oMath>
      <w:r>
        <w:t>（3-25）</w:t>
      </w:r>
    </w:p>
    <w:p w14:paraId="29F68C91">
      <w:pPr>
        <w:jc w:val="center"/>
        <w:rPr>
          <w:rFonts w:hint="eastAsia" w:hAnsi="DejaVu Math TeX Gyre" w:eastAsia="宋体" w:cstheme="minorBidi"/>
          <w:i w:val="0"/>
          <w:sz w:val="24"/>
          <w:szCs w:val="24"/>
          <w:lang w:val="en-US" w:eastAsia="en-US" w:bidi="ar-SA"/>
        </w:rPr>
      </w:pPr>
      <m:oMath>
        <m:r>
          <m:rPr/>
          <m:t>Balanced Accuracy =</m:t>
        </m:r>
        <m:f>
          <m:fPr/>
          <m:num>
            <m:r>
              <m:rPr/>
              <m:t>1</m:t>
            </m:r>
          </m:num>
          <m:den>
            <m:r>
              <m:rPr/>
              <m:t>C</m:t>
            </m:r>
          </m:den>
        </m:f>
        <m:sSubSup>
          <m:sSubSupPr/>
          <m:e>
            <m:r>
              <m:rPr/>
              <m:t>Σ</m:t>
            </m:r>
          </m:e>
          <m:sub>
            <m:r>
              <m:rPr/>
              <m:t>c=1</m:t>
            </m:r>
          </m:sub>
          <m:sup>
            <m:r>
              <m:rPr/>
              <m:t>C</m:t>
            </m:r>
          </m:sup>
        </m:sSubSup>
        <m:sSub>
          <m:sSubPr/>
          <m:e>
            <m:r>
              <m:rPr/>
              <m:t>R</m:t>
            </m:r>
          </m:e>
          <m:sub>
            <m:r>
              <m:rPr/>
              <m:t>c</m:t>
            </m:r>
          </m:sub>
        </m:sSub>
      </m:oMath>
      <w:r>
        <w:t>（3-26）</w:t>
      </w:r>
    </w:p>
    <w:p w14:paraId="0C689455">
      <w:pPr>
        <w:jc w:val="center"/>
      </w:pPr>
      <m:oMath>
        <m:r>
          <m:rPr/>
          <m:t>Macro−F1 =</m:t>
        </m:r>
        <m:f>
          <m:fPr/>
          <m:num>
            <m:r>
              <m:rPr/>
              <m:t>1</m:t>
            </m:r>
          </m:num>
          <m:den>
            <m:r>
              <m:rPr/>
              <m:t>C</m:t>
            </m:r>
          </m:den>
        </m:f>
        <m:sSubSup>
          <m:sSubSupPr/>
          <m:e>
            <m:r>
              <m:rPr/>
              <m:t>Σ</m:t>
            </m:r>
          </m:e>
          <m:sub>
            <m:r>
              <m:rPr/>
              <m:t>c=1</m:t>
            </m:r>
          </m:sub>
          <m:sup>
            <m:r>
              <m:rPr/>
              <m:t>C</m:t>
            </m:r>
          </m:sup>
        </m:sSubSup>
        <m:sSub>
          <m:sSubPr/>
          <m:e>
            <m:r>
              <m:rPr/>
              <m:t>F1</m:t>
            </m:r>
          </m:e>
          <m:sub>
            <m:r>
              <m:rPr/>
              <m:t>c</m:t>
            </m:r>
          </m:sub>
        </m:sSub>
        <m:r>
          <m:rPr/>
          <m:t>,    Weighted−F1 =</m:t>
        </m:r>
        <m:sSubSup>
          <m:sSubSupPr/>
          <m:e>
            <m:r>
              <m:rPr/>
              <m:t>Σ</m:t>
            </m:r>
          </m:e>
          <m:sub>
            <m:r>
              <m:rPr/>
              <m:t>c=1</m:t>
            </m:r>
          </m:sub>
          <m:sup>
            <m:r>
              <m:rPr/>
              <m:t>C</m:t>
            </m:r>
          </m:sup>
        </m:sSubSup>
        <m:f>
          <m:fPr/>
          <m:num>
            <m:sSub>
              <m:sSubPr/>
              <m:e>
                <m:r>
                  <m:rPr/>
                  <m:t>n</m:t>
                </m:r>
              </m:e>
              <m:sub>
                <m:r>
                  <m:rPr/>
                  <m:t>c</m:t>
                </m:r>
              </m:sub>
            </m:sSub>
          </m:num>
          <m:den>
            <m:r>
              <m:rPr/>
              <m:t>N</m:t>
            </m:r>
          </m:den>
        </m:f>
        <m:sSub>
          <m:sSubPr/>
          <m:e>
            <m:r>
              <m:rPr/>
              <m:t>F1</m:t>
            </m:r>
          </m:e>
          <m:sub>
            <m:r>
              <m:rPr/>
              <m:t>c</m:t>
            </m:r>
          </m:sub>
        </m:sSub>
      </m:oMath>
      <w:r>
        <w:t>（3-27）</w:t>
      </w:r>
    </w:p>
    <w:p w14:paraId="0B1D73A2">
      <w:pPr>
        <w:keepNext w:val="0"/>
        <w:keepLines w:val="0"/>
        <w:pageBreakBefore w:val="0"/>
        <w:widowControl/>
        <w:kinsoku/>
        <w:wordWrap w:val="0"/>
        <w:overflowPunct/>
        <w:topLinePunct w:val="0"/>
        <w:autoSpaceDE/>
        <w:autoSpaceDN/>
        <w:bidi w:val="0"/>
        <w:adjustRightInd/>
        <w:snapToGrid/>
        <w:textAlignment w:val="auto"/>
        <w:rPr>
          <w:rFonts w:hint="eastAsia" w:hAnsi="DejaVu Math TeX Gyre" w:eastAsia="宋体" w:cstheme="minorBidi"/>
          <w:i w:val="0"/>
          <w:sz w:val="24"/>
          <w:szCs w:val="24"/>
          <w:lang w:val="en-US" w:eastAsia="en-US" w:bidi="ar-SA"/>
        </w:rPr>
      </w:pPr>
      <w:r>
        <w:t>式中：TP</w:t>
      </w:r>
      <w:r>
        <w:rPr>
          <w:vertAlign w:val="subscript"/>
        </w:rPr>
        <w:t>c</w:t>
      </w:r>
      <w:r>
        <w:t> 表示类别 c 被正确识别为该类别的样本数；FP</w:t>
      </w:r>
      <w:r>
        <w:rPr>
          <w:vertAlign w:val="subscript"/>
        </w:rPr>
        <w:t>c</w:t>
      </w:r>
      <w:r>
        <w:t> 表示其他类别样本被误识别为类别 c 的样本数；FN</w:t>
      </w:r>
      <w:r>
        <w:rPr>
          <w:vertAlign w:val="subscript"/>
        </w:rPr>
        <w:t>c</w:t>
      </w:r>
      <w:r>
        <w:t> 表示类别 c 样本被误判为其他类别的样本数；P</w:t>
      </w:r>
      <w:r>
        <w:rPr>
          <w:vertAlign w:val="subscript"/>
        </w:rPr>
        <w:t>c</w:t>
      </w:r>
      <w:r>
        <w:t>、R</w:t>
      </w:r>
      <w:r>
        <w:rPr>
          <w:vertAlign w:val="subscript"/>
        </w:rPr>
        <w:t>c</w:t>
      </w:r>
      <w:r>
        <w:t> 和 F1</w:t>
      </w:r>
      <w:r>
        <w:rPr>
          <w:vertAlign w:val="subscript"/>
        </w:rPr>
        <w:t>c</w:t>
      </w:r>
      <w:r>
        <w:t> 分别表示类别 c 的精确率、召回率和 F1 值；C 表示类别总数，n</w:t>
      </w:r>
      <w:r>
        <w:rPr>
          <w:vertAlign w:val="subscript"/>
        </w:rPr>
        <w:t>c</w:t>
      </w:r>
      <w:r>
        <w:t> 表示类别 c 的测试样本数，N 表示测试样本总数。</w:t>
      </w:r>
    </w:p>
    <w:p w14:paraId="0FF0903B">
      <w:pPr>
        <w:ind w:firstLine="480" w:firstLineChars="200"/>
        <w:rPr>
          <w:sz w:val="24"/>
          <w:szCs w:val="24"/>
        </w:rPr>
      </w:pPr>
      <w:r>
        <w:rPr>
          <w:rFonts w:ascii="宋体" w:hAnsi="宋体" w:eastAsia="宋体"/>
          <w:sz w:val="24"/>
          <w:szCs w:val="24"/>
        </w:rPr>
        <w:t>本文未追求大量模型堆叠，而是选择 BP 神经网络、SVM 和随机森林三类具有代表性的机器学习模型进行对比。BP 神经网络代表神经网络非线性映射方法；SVM 代表核函数机器学习方法，适合处理中小规模特征样本的非线性分类边界；随机森林代表集成学习方法，既具有较好的抗噪声能力，又能够输出特征重要性，便于结合故障机理解释模型判断依据。三类模型分别从非线性映射、最大间隔分类和多决策树集成角度展开对比，能够覆盖传统机器学习故障诊断中较典型的技术路线。</w:t>
      </w:r>
    </w:p>
    <w:p w14:paraId="4F4A1CE9">
      <w:pPr>
        <w:jc w:val="center"/>
        <w:rPr>
          <w:sz w:val="24"/>
          <w:szCs w:val="24"/>
        </w:rPr>
      </w:pPr>
      <w:r>
        <w:rPr>
          <w:rFonts w:ascii="宋体" w:hAnsi="宋体" w:eastAsia="宋体"/>
          <w:b/>
          <w:sz w:val="24"/>
          <w:szCs w:val="24"/>
        </w:rPr>
        <w:t>诊断模型</w:t>
      </w:r>
      <w:r>
        <w:rPr>
          <w:rFonts w:hint="eastAsia"/>
          <w:b/>
          <w:sz w:val="24"/>
          <w:szCs w:val="24"/>
          <w:lang w:val="en-US" w:eastAsia="zh-CN"/>
        </w:rPr>
        <w:t>参数</w:t>
      </w:r>
      <w:r>
        <w:rPr>
          <w:rFonts w:ascii="宋体" w:hAnsi="宋体" w:eastAsia="宋体"/>
          <w:b/>
          <w:sz w:val="24"/>
          <w:szCs w:val="24"/>
        </w:rPr>
        <w:t>设置与方法特点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282"/>
        <w:gridCol w:w="2282"/>
        <w:gridCol w:w="2282"/>
      </w:tblGrid>
      <w:tr w14:paraId="6AB32189">
        <w:trPr>
          <w:jc w:val="center"/>
        </w:trPr>
        <w:tc>
          <w:tcPr>
            <w:tcW w:w="2282" w:type="dxa"/>
            <w:shd w:val="clear" w:color="auto" w:fill="E8EEF5"/>
            <w:tcMar>
              <w:top w:w="80" w:type="dxa"/>
              <w:left w:w="120" w:type="dxa"/>
              <w:bottom w:w="80" w:type="dxa"/>
              <w:right w:w="120" w:type="dxa"/>
            </w:tcMar>
            <w:vAlign w:val="center"/>
          </w:tcPr>
          <w:p w14:paraId="107E3EDB">
            <w:pPr>
              <w:spacing w:before="0" w:after="0"/>
              <w:jc w:val="center"/>
            </w:pPr>
            <w:r>
              <w:rPr>
                <w:rFonts w:ascii="宋体" w:hAnsi="宋体" w:eastAsia="宋体"/>
                <w:b/>
                <w:sz w:val="24"/>
                <w:szCs w:val="24"/>
              </w:rPr>
              <w:t>模型</w:t>
            </w:r>
          </w:p>
        </w:tc>
        <w:tc>
          <w:tcPr>
            <w:tcW w:w="2282" w:type="dxa"/>
            <w:shd w:val="clear" w:color="auto" w:fill="E8EEF5"/>
            <w:tcMar>
              <w:top w:w="80" w:type="dxa"/>
              <w:left w:w="120" w:type="dxa"/>
              <w:bottom w:w="80" w:type="dxa"/>
              <w:right w:w="120" w:type="dxa"/>
            </w:tcMar>
            <w:vAlign w:val="center"/>
          </w:tcPr>
          <w:p w14:paraId="09B16B9A">
            <w:pPr>
              <w:spacing w:before="0" w:after="0"/>
              <w:jc w:val="center"/>
            </w:pPr>
            <w:r>
              <w:rPr>
                <w:rFonts w:ascii="宋体" w:hAnsi="宋体" w:eastAsia="宋体"/>
                <w:b/>
                <w:sz w:val="24"/>
                <w:szCs w:val="24"/>
              </w:rPr>
              <w:t>主要作用</w:t>
            </w:r>
          </w:p>
        </w:tc>
        <w:tc>
          <w:tcPr>
            <w:tcW w:w="2282" w:type="dxa"/>
            <w:shd w:val="clear" w:color="auto" w:fill="E8EEF5"/>
            <w:tcMar>
              <w:top w:w="80" w:type="dxa"/>
              <w:left w:w="120" w:type="dxa"/>
              <w:bottom w:w="80" w:type="dxa"/>
              <w:right w:w="120" w:type="dxa"/>
            </w:tcMar>
            <w:vAlign w:val="center"/>
          </w:tcPr>
          <w:p w14:paraId="512D2047">
            <w:pPr>
              <w:spacing w:before="0" w:after="0"/>
              <w:jc w:val="center"/>
            </w:pPr>
            <w:r>
              <w:rPr>
                <w:rFonts w:ascii="宋体" w:hAnsi="宋体" w:eastAsia="宋体"/>
                <w:b/>
                <w:sz w:val="24"/>
                <w:szCs w:val="24"/>
              </w:rPr>
              <w:t>本文设置</w:t>
            </w:r>
          </w:p>
        </w:tc>
        <w:tc>
          <w:tcPr>
            <w:tcW w:w="2282" w:type="dxa"/>
            <w:shd w:val="clear" w:color="auto" w:fill="E8EEF5"/>
            <w:tcMar>
              <w:top w:w="80" w:type="dxa"/>
              <w:left w:w="120" w:type="dxa"/>
              <w:bottom w:w="80" w:type="dxa"/>
              <w:right w:w="120" w:type="dxa"/>
            </w:tcMar>
            <w:vAlign w:val="center"/>
          </w:tcPr>
          <w:p w14:paraId="55DAD286">
            <w:pPr>
              <w:spacing w:before="0" w:after="0"/>
              <w:jc w:val="center"/>
            </w:pPr>
            <w:r>
              <w:rPr>
                <w:rFonts w:ascii="宋体" w:hAnsi="宋体" w:eastAsia="宋体"/>
                <w:b/>
                <w:sz w:val="24"/>
                <w:szCs w:val="24"/>
              </w:rPr>
              <w:t>特点</w:t>
            </w:r>
          </w:p>
        </w:tc>
      </w:tr>
      <w:tr w14:paraId="2E429BBA">
        <w:trPr>
          <w:jc w:val="center"/>
        </w:trPr>
        <w:tc>
          <w:tcPr>
            <w:tcW w:w="2282" w:type="dxa"/>
            <w:tcMar>
              <w:top w:w="80" w:type="dxa"/>
              <w:left w:w="120" w:type="dxa"/>
              <w:bottom w:w="80" w:type="dxa"/>
              <w:right w:w="120" w:type="dxa"/>
            </w:tcMar>
            <w:vAlign w:val="center"/>
          </w:tcPr>
          <w:p w14:paraId="69DED0D7">
            <w:pPr>
              <w:spacing w:before="0" w:after="0"/>
              <w:jc w:val="left"/>
            </w:pPr>
            <w:r>
              <w:rPr>
                <w:rFonts w:ascii="宋体" w:hAnsi="宋体" w:eastAsia="宋体"/>
                <w:sz w:val="24"/>
                <w:szCs w:val="24"/>
              </w:rPr>
              <w:t>BP 神经网络</w:t>
            </w:r>
          </w:p>
        </w:tc>
        <w:tc>
          <w:tcPr>
            <w:tcW w:w="2282" w:type="dxa"/>
            <w:tcMar>
              <w:top w:w="80" w:type="dxa"/>
              <w:left w:w="120" w:type="dxa"/>
              <w:bottom w:w="80" w:type="dxa"/>
              <w:right w:w="120" w:type="dxa"/>
            </w:tcMar>
            <w:vAlign w:val="center"/>
          </w:tcPr>
          <w:p w14:paraId="3466DD67">
            <w:pPr>
              <w:spacing w:before="0" w:after="0"/>
              <w:jc w:val="left"/>
            </w:pPr>
            <w:r>
              <w:rPr>
                <w:rFonts w:ascii="宋体" w:hAnsi="宋体" w:eastAsia="宋体"/>
                <w:sz w:val="24"/>
                <w:szCs w:val="24"/>
              </w:rPr>
              <w:t>继承前期研究并作为神经网络对比模型</w:t>
            </w:r>
          </w:p>
        </w:tc>
        <w:tc>
          <w:tcPr>
            <w:tcW w:w="2282" w:type="dxa"/>
            <w:tcMar>
              <w:top w:w="80" w:type="dxa"/>
              <w:left w:w="120" w:type="dxa"/>
              <w:bottom w:w="80" w:type="dxa"/>
              <w:right w:w="120" w:type="dxa"/>
            </w:tcMar>
            <w:vAlign w:val="center"/>
          </w:tcPr>
          <w:p w14:paraId="65F61554">
            <w:pPr>
              <w:spacing w:before="0" w:after="0"/>
              <w:jc w:val="left"/>
            </w:pPr>
            <w:r>
              <w:rPr>
                <w:rFonts w:ascii="宋体" w:hAnsi="宋体" w:eastAsia="宋体"/>
                <w:sz w:val="24"/>
                <w:szCs w:val="24"/>
              </w:rPr>
              <w:t>隐藏层 64、32，ReLU，Adam，early stopping</w:t>
            </w:r>
          </w:p>
        </w:tc>
        <w:tc>
          <w:tcPr>
            <w:tcW w:w="2282" w:type="dxa"/>
            <w:tcMar>
              <w:top w:w="80" w:type="dxa"/>
              <w:left w:w="120" w:type="dxa"/>
              <w:bottom w:w="80" w:type="dxa"/>
              <w:right w:w="120" w:type="dxa"/>
            </w:tcMar>
            <w:vAlign w:val="center"/>
          </w:tcPr>
          <w:p w14:paraId="75B98F7D">
            <w:pPr>
              <w:spacing w:before="0" w:after="0"/>
              <w:jc w:val="left"/>
            </w:pPr>
            <w:r>
              <w:rPr>
                <w:rFonts w:ascii="宋体" w:hAnsi="宋体" w:eastAsia="宋体"/>
                <w:sz w:val="24"/>
                <w:szCs w:val="24"/>
              </w:rPr>
              <w:t>可学习非线性关系，但对参数和样本分布敏感</w:t>
            </w:r>
          </w:p>
        </w:tc>
      </w:tr>
      <w:tr w14:paraId="4C7486BD">
        <w:trPr>
          <w:jc w:val="center"/>
        </w:trPr>
        <w:tc>
          <w:tcPr>
            <w:tcW w:w="2282" w:type="dxa"/>
            <w:tcMar>
              <w:top w:w="80" w:type="dxa"/>
              <w:left w:w="120" w:type="dxa"/>
              <w:bottom w:w="80" w:type="dxa"/>
              <w:right w:w="120" w:type="dxa"/>
            </w:tcMar>
            <w:vAlign w:val="center"/>
          </w:tcPr>
          <w:p w14:paraId="62920EB0">
            <w:pPr>
              <w:spacing w:before="0" w:after="0"/>
              <w:jc w:val="left"/>
            </w:pPr>
            <w:r>
              <w:rPr>
                <w:rFonts w:ascii="宋体" w:hAnsi="宋体" w:eastAsia="宋体"/>
                <w:sz w:val="24"/>
                <w:szCs w:val="24"/>
              </w:rPr>
              <w:t>RBF-SVM</w:t>
            </w:r>
          </w:p>
        </w:tc>
        <w:tc>
          <w:tcPr>
            <w:tcW w:w="2282" w:type="dxa"/>
            <w:tcMar>
              <w:top w:w="80" w:type="dxa"/>
              <w:left w:w="120" w:type="dxa"/>
              <w:bottom w:w="80" w:type="dxa"/>
              <w:right w:w="120" w:type="dxa"/>
            </w:tcMar>
            <w:vAlign w:val="center"/>
          </w:tcPr>
          <w:p w14:paraId="52EDE710">
            <w:pPr>
              <w:spacing w:before="0" w:after="0"/>
              <w:jc w:val="left"/>
            </w:pPr>
            <w:r>
              <w:rPr>
                <w:rFonts w:ascii="宋体" w:hAnsi="宋体" w:eastAsia="宋体"/>
                <w:sz w:val="24"/>
                <w:szCs w:val="24"/>
              </w:rPr>
              <w:t>传统核函数机器学习对比模型</w:t>
            </w:r>
          </w:p>
        </w:tc>
        <w:tc>
          <w:tcPr>
            <w:tcW w:w="2282" w:type="dxa"/>
            <w:tcMar>
              <w:top w:w="80" w:type="dxa"/>
              <w:left w:w="120" w:type="dxa"/>
              <w:bottom w:w="80" w:type="dxa"/>
              <w:right w:w="120" w:type="dxa"/>
            </w:tcMar>
            <w:vAlign w:val="center"/>
          </w:tcPr>
          <w:p w14:paraId="5FEB14A4">
            <w:pPr>
              <w:spacing w:before="0" w:after="0"/>
              <w:jc w:val="left"/>
            </w:pPr>
            <w:r>
              <w:rPr>
                <w:rFonts w:ascii="宋体" w:hAnsi="宋体" w:eastAsia="宋体"/>
                <w:sz w:val="24"/>
                <w:szCs w:val="24"/>
              </w:rPr>
              <w:t>RBF 核，C=10，类别平衡，分层抽样 16000 条</w:t>
            </w:r>
          </w:p>
        </w:tc>
        <w:tc>
          <w:tcPr>
            <w:tcW w:w="2282" w:type="dxa"/>
            <w:tcMar>
              <w:top w:w="80" w:type="dxa"/>
              <w:left w:w="120" w:type="dxa"/>
              <w:bottom w:w="80" w:type="dxa"/>
              <w:right w:w="120" w:type="dxa"/>
            </w:tcMar>
            <w:vAlign w:val="center"/>
          </w:tcPr>
          <w:p w14:paraId="3DAB0877">
            <w:pPr>
              <w:spacing w:before="0" w:after="0"/>
              <w:jc w:val="left"/>
            </w:pPr>
            <w:r>
              <w:rPr>
                <w:rFonts w:ascii="宋体" w:hAnsi="宋体" w:eastAsia="宋体"/>
                <w:sz w:val="24"/>
                <w:szCs w:val="24"/>
              </w:rPr>
              <w:t>适合非线性分类，但大样本训练计算量较高</w:t>
            </w:r>
          </w:p>
        </w:tc>
      </w:tr>
      <w:tr w14:paraId="4188C834">
        <w:trPr>
          <w:jc w:val="center"/>
        </w:trPr>
        <w:tc>
          <w:tcPr>
            <w:tcW w:w="2282" w:type="dxa"/>
            <w:tcMar>
              <w:top w:w="80" w:type="dxa"/>
              <w:left w:w="120" w:type="dxa"/>
              <w:bottom w:w="80" w:type="dxa"/>
              <w:right w:w="120" w:type="dxa"/>
            </w:tcMar>
            <w:vAlign w:val="center"/>
          </w:tcPr>
          <w:p w14:paraId="78BC0999">
            <w:pPr>
              <w:spacing w:before="0" w:after="0"/>
              <w:jc w:val="left"/>
            </w:pPr>
            <w:r>
              <w:rPr>
                <w:rFonts w:ascii="宋体" w:hAnsi="宋体" w:eastAsia="宋体"/>
                <w:sz w:val="24"/>
                <w:szCs w:val="24"/>
              </w:rPr>
              <w:t>随机森林</w:t>
            </w:r>
          </w:p>
        </w:tc>
        <w:tc>
          <w:tcPr>
            <w:tcW w:w="2282" w:type="dxa"/>
            <w:tcMar>
              <w:top w:w="80" w:type="dxa"/>
              <w:left w:w="120" w:type="dxa"/>
              <w:bottom w:w="80" w:type="dxa"/>
              <w:right w:w="120" w:type="dxa"/>
            </w:tcMar>
            <w:vAlign w:val="center"/>
          </w:tcPr>
          <w:p w14:paraId="32A9DC5D">
            <w:pPr>
              <w:spacing w:before="0" w:after="0"/>
              <w:jc w:val="left"/>
            </w:pPr>
            <w:r>
              <w:rPr>
                <w:rFonts w:ascii="宋体" w:hAnsi="宋体" w:eastAsia="宋体"/>
                <w:sz w:val="24"/>
                <w:szCs w:val="24"/>
              </w:rPr>
              <w:t>主要诊断模型和特征重要性分析模型</w:t>
            </w:r>
          </w:p>
        </w:tc>
        <w:tc>
          <w:tcPr>
            <w:tcW w:w="2282" w:type="dxa"/>
            <w:tcMar>
              <w:top w:w="80" w:type="dxa"/>
              <w:left w:w="120" w:type="dxa"/>
              <w:bottom w:w="80" w:type="dxa"/>
              <w:right w:w="120" w:type="dxa"/>
            </w:tcMar>
            <w:vAlign w:val="center"/>
          </w:tcPr>
          <w:p w14:paraId="23704237">
            <w:pPr>
              <w:spacing w:before="0" w:after="0"/>
              <w:jc w:val="left"/>
            </w:pPr>
            <w:r>
              <w:rPr>
                <w:rFonts w:ascii="宋体" w:hAnsi="宋体" w:eastAsia="宋体"/>
                <w:sz w:val="24"/>
                <w:szCs w:val="24"/>
              </w:rPr>
              <w:t>300 棵树，类别平衡采样，全量训练</w:t>
            </w:r>
          </w:p>
        </w:tc>
        <w:tc>
          <w:tcPr>
            <w:tcW w:w="2282" w:type="dxa"/>
            <w:tcMar>
              <w:top w:w="80" w:type="dxa"/>
              <w:left w:w="120" w:type="dxa"/>
              <w:bottom w:w="80" w:type="dxa"/>
              <w:right w:w="120" w:type="dxa"/>
            </w:tcMar>
            <w:vAlign w:val="center"/>
          </w:tcPr>
          <w:p w14:paraId="640A0D35">
            <w:pPr>
              <w:spacing w:before="0" w:after="0"/>
              <w:jc w:val="left"/>
            </w:pPr>
            <w:r>
              <w:rPr>
                <w:rFonts w:ascii="宋体" w:hAnsi="宋体" w:eastAsia="宋体"/>
                <w:sz w:val="24"/>
                <w:szCs w:val="24"/>
              </w:rPr>
              <w:t>稳定性较好，可输出特征重要性，工程解释性强</w:t>
            </w:r>
          </w:p>
        </w:tc>
      </w:tr>
    </w:tbl>
    <w:p w14:paraId="77590106">
      <w:pPr>
        <w:pStyle w:val="3"/>
      </w:pPr>
      <w:r>
        <w:rPr>
          <w:rFonts w:ascii="宋体" w:hAnsi="宋体" w:eastAsia="宋体"/>
          <w:sz w:val="22"/>
        </w:rPr>
        <w:t>第 4 章 水泵振动故障数据集构建与实验分析</w:t>
      </w:r>
    </w:p>
    <w:p w14:paraId="0CCB2135">
      <w:pPr>
        <w:ind w:firstLine="480" w:firstLineChars="200"/>
        <w:rPr>
          <w:rFonts w:hint="eastAsia" w:eastAsia="宋体"/>
          <w:sz w:val="24"/>
          <w:szCs w:val="24"/>
          <w:lang w:eastAsia="zh-CN"/>
        </w:rPr>
      </w:pPr>
      <w:r>
        <w:rPr>
          <w:rFonts w:ascii="宋体" w:hAnsi="宋体" w:eastAsia="宋体"/>
          <w:sz w:val="24"/>
          <w:szCs w:val="24"/>
        </w:rPr>
        <w:t>第 4 章是本文算法验证的核心章节。本章基于公开水泵相关故障数据完成振动信号整理、故障类别合并、样本分段、关键特征筛选、模型训练与结果分析。需要说明的是，本章结果用于验证本文所提出的预处理、特征提取和机器学习诊断流程的可行性，属于公开数据集上的算法预验证；后续实验室采集数据可作为外部验证或工程系统验证</w:t>
      </w:r>
      <w:r>
        <w:rPr>
          <w:rFonts w:hint="eastAsia"/>
          <w:sz w:val="24"/>
          <w:szCs w:val="24"/>
          <w:lang w:eastAsia="zh-CN"/>
        </w:rPr>
        <w:t>。</w:t>
      </w:r>
    </w:p>
    <w:p w14:paraId="14F5D7EC">
      <w:pPr>
        <w:pStyle w:val="4"/>
      </w:pPr>
      <w:r>
        <w:rPr>
          <w:rFonts w:ascii="宋体" w:hAnsi="宋体" w:eastAsia="宋体"/>
          <w:sz w:val="22"/>
        </w:rPr>
        <w:t>4.1 数据来源与实验对象</w:t>
      </w:r>
    </w:p>
    <w:p w14:paraId="0C3FE6C2">
      <w:pPr>
        <w:ind w:firstLine="480" w:firstLineChars="200"/>
        <w:rPr>
          <w:sz w:val="24"/>
          <w:szCs w:val="24"/>
        </w:rPr>
      </w:pPr>
      <w:r>
        <w:t>当前阶段采用《电机驱动离心泵多故障电流与振动监测公开数据集》中的振动信号进行算法验证。该数据集包含不同电机和泵组在多种故障状态下的采集数据，能够覆盖水泵机组中较典型的机械故障和水力故障。本文选取通道 4 振动数据作为主要分析对象。不同设备和工况所包含的故障类别并不完全一致，具体见表 4-1。</w:t>
      </w:r>
    </w:p>
    <w:p w14:paraId="1DCD07F1">
      <w:pPr>
        <w:jc w:val="center"/>
      </w:pPr>
      <w:r>
        <w:rPr>
          <w:b/>
        </w:rPr>
        <w:t>表 4-1 数据来源与工况分布</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2BA7FCFF">
        <w:tc>
          <w:tcPr>
            <w:tcW w:w="1805" w:type="dxa"/>
          </w:tcPr>
          <w:p w14:paraId="77C8DA5B">
            <w:r>
              <w:rPr>
                <w:b/>
              </w:rPr>
              <w:t>设备</w:t>
            </w:r>
          </w:p>
        </w:tc>
        <w:tc>
          <w:tcPr>
            <w:tcW w:w="1805" w:type="dxa"/>
          </w:tcPr>
          <w:p w14:paraId="1869E360">
            <w:r>
              <w:t>变频器输出频率/Hz</w:t>
            </w:r>
          </w:p>
        </w:tc>
        <w:tc>
          <w:tcPr>
            <w:tcW w:w="1805" w:type="dxa"/>
          </w:tcPr>
          <w:p w14:paraId="526196EA">
            <w:r>
              <w:rPr>
                <w:b/>
              </w:rPr>
              <w:t>实际转速/(r/min)</w:t>
            </w:r>
          </w:p>
        </w:tc>
        <w:tc>
          <w:tcPr>
            <w:tcW w:w="1805" w:type="dxa"/>
          </w:tcPr>
          <w:p w14:paraId="03BC0D1B">
            <w:r>
              <w:rPr>
                <w:b/>
              </w:rPr>
              <w:t>候选窗口数</w:t>
            </w:r>
          </w:p>
        </w:tc>
        <w:tc>
          <w:tcPr>
            <w:tcW w:w="1805" w:type="dxa"/>
          </w:tcPr>
          <w:p w14:paraId="7C30FA73">
            <w:r>
              <w:rPr>
                <w:b/>
              </w:rPr>
              <w:t>包含故障类型</w:t>
            </w:r>
          </w:p>
        </w:tc>
      </w:tr>
      <w:tr w14:paraId="171C0392">
        <w:tc>
          <w:tcPr>
            <w:tcW w:w="1805" w:type="dxa"/>
          </w:tcPr>
          <w:p w14:paraId="3F952C74">
            <w:r>
              <w:t>Motor-2</w:t>
            </w:r>
          </w:p>
        </w:tc>
        <w:tc>
          <w:tcPr>
            <w:tcW w:w="1805" w:type="dxa"/>
          </w:tcPr>
          <w:p w14:paraId="049B7A73">
            <w:r>
              <w:t>50</w:t>
            </w:r>
          </w:p>
        </w:tc>
        <w:tc>
          <w:tcPr>
            <w:tcW w:w="1805" w:type="dxa"/>
          </w:tcPr>
          <w:p w14:paraId="0B434609">
            <w:r>
              <w:t>740</w:t>
            </w:r>
          </w:p>
        </w:tc>
        <w:tc>
          <w:tcPr>
            <w:tcW w:w="1805" w:type="dxa"/>
          </w:tcPr>
          <w:p w14:paraId="5745F74D">
            <w:r>
              <w:t>42340</w:t>
            </w:r>
          </w:p>
        </w:tc>
        <w:tc>
          <w:tcPr>
            <w:tcW w:w="1805" w:type="dxa"/>
          </w:tcPr>
          <w:p w14:paraId="421742B3">
            <w:r>
              <w:t>正常、松动、轴承故障</w:t>
            </w:r>
          </w:p>
        </w:tc>
      </w:tr>
      <w:tr w14:paraId="4C147006">
        <w:tc>
          <w:tcPr>
            <w:tcW w:w="1805" w:type="dxa"/>
          </w:tcPr>
          <w:p w14:paraId="57828347">
            <w:r>
              <w:t>Motor-2</w:t>
            </w:r>
          </w:p>
        </w:tc>
        <w:tc>
          <w:tcPr>
            <w:tcW w:w="1805" w:type="dxa"/>
          </w:tcPr>
          <w:p w14:paraId="6F230FB3">
            <w:r>
              <w:t>75</w:t>
            </w:r>
          </w:p>
        </w:tc>
        <w:tc>
          <w:tcPr>
            <w:tcW w:w="1805" w:type="dxa"/>
          </w:tcPr>
          <w:p w14:paraId="1C902B38">
            <w:r>
              <w:t>1110</w:t>
            </w:r>
          </w:p>
        </w:tc>
        <w:tc>
          <w:tcPr>
            <w:tcW w:w="1805" w:type="dxa"/>
          </w:tcPr>
          <w:p w14:paraId="320E3AA7">
            <w:r>
              <w:t>46980</w:t>
            </w:r>
          </w:p>
        </w:tc>
        <w:tc>
          <w:tcPr>
            <w:tcW w:w="1805" w:type="dxa"/>
          </w:tcPr>
          <w:p w14:paraId="293BE943">
            <w:r>
              <w:t>正常、松动、轴承故障</w:t>
            </w:r>
          </w:p>
        </w:tc>
      </w:tr>
      <w:tr w14:paraId="2BA372B7">
        <w:tc>
          <w:tcPr>
            <w:tcW w:w="1805" w:type="dxa"/>
          </w:tcPr>
          <w:p w14:paraId="33C28E9E">
            <w:r>
              <w:t>Motor-2</w:t>
            </w:r>
          </w:p>
        </w:tc>
        <w:tc>
          <w:tcPr>
            <w:tcW w:w="1805" w:type="dxa"/>
          </w:tcPr>
          <w:p w14:paraId="78104675">
            <w:r>
              <w:t>100</w:t>
            </w:r>
          </w:p>
        </w:tc>
        <w:tc>
          <w:tcPr>
            <w:tcW w:w="1805" w:type="dxa"/>
          </w:tcPr>
          <w:p w14:paraId="7C09F441">
            <w:r>
              <w:t>1480</w:t>
            </w:r>
          </w:p>
        </w:tc>
        <w:tc>
          <w:tcPr>
            <w:tcW w:w="1805" w:type="dxa"/>
          </w:tcPr>
          <w:p w14:paraId="0CB3944A">
            <w:r>
              <w:t>49068</w:t>
            </w:r>
          </w:p>
        </w:tc>
        <w:tc>
          <w:tcPr>
            <w:tcW w:w="1805" w:type="dxa"/>
          </w:tcPr>
          <w:p w14:paraId="7AB2952E">
            <w:r>
              <w:t>正常、松动、轴承故障</w:t>
            </w:r>
          </w:p>
        </w:tc>
      </w:tr>
      <w:tr w14:paraId="29C55430">
        <w:tc>
          <w:tcPr>
            <w:tcW w:w="1805" w:type="dxa"/>
          </w:tcPr>
          <w:p w14:paraId="6ECB6755">
            <w:r>
              <w:t>Motor-4</w:t>
            </w:r>
          </w:p>
        </w:tc>
        <w:tc>
          <w:tcPr>
            <w:tcW w:w="1805" w:type="dxa"/>
          </w:tcPr>
          <w:p w14:paraId="48B93DC4">
            <w:r>
              <w:t>70</w:t>
            </w:r>
          </w:p>
        </w:tc>
        <w:tc>
          <w:tcPr>
            <w:tcW w:w="1805" w:type="dxa"/>
          </w:tcPr>
          <w:p w14:paraId="0F323E17">
            <w:r>
              <w:t>2070</w:t>
            </w:r>
          </w:p>
        </w:tc>
        <w:tc>
          <w:tcPr>
            <w:tcW w:w="1805" w:type="dxa"/>
          </w:tcPr>
          <w:p w14:paraId="3D8E32DB">
            <w:r>
              <w:t>75632</w:t>
            </w:r>
          </w:p>
        </w:tc>
        <w:tc>
          <w:tcPr>
            <w:tcW w:w="1805" w:type="dxa"/>
          </w:tcPr>
          <w:p w14:paraId="686A9E67">
            <w:r>
              <w:t>正常、转子不平衡、联轴器不对中、汽蚀</w:t>
            </w:r>
          </w:p>
        </w:tc>
      </w:tr>
    </w:tbl>
    <w:p w14:paraId="0B193297">
      <w:pPr>
        <w:ind w:firstLine="480" w:firstLineChars="200"/>
        <w:rPr>
          <w:sz w:val="24"/>
          <w:szCs w:val="24"/>
        </w:rPr>
      </w:pPr>
      <w:r>
        <w:rPr>
          <w:rFonts w:ascii="宋体" w:hAnsi="宋体" w:eastAsia="宋体"/>
          <w:sz w:val="24"/>
          <w:szCs w:val="24"/>
        </w:rPr>
        <w:t>公开数据集的优势在于样本数量较多、故障类型较丰富，适合用于构建机器学习模型并开展特征体系和分类方法的预验证。但公开数据与实际实验室水泵平台在设备结构、传感器安装位置、采样系统和运行工况方面可能存在差异，因此不能直接等同于最终工程现场验证。本文将该数据集定位为算法训练和流程验证基础，后续可通过实验室采集数据检验模型和诊断系统在实际采集信号上的可用性。</w:t>
      </w:r>
    </w:p>
    <w:p w14:paraId="4802B817">
      <w:pPr>
        <w:ind w:firstLine="480" w:firstLineChars="200"/>
        <w:rPr>
          <w:sz w:val="24"/>
          <w:szCs w:val="24"/>
        </w:rPr>
      </w:pPr>
      <w:r>
        <w:rPr>
          <w:rFonts w:ascii="宋体" w:hAnsi="宋体" w:eastAsia="宋体"/>
          <w:sz w:val="24"/>
          <w:szCs w:val="24"/>
        </w:rPr>
        <w:t>在数据处理过程中，本文优先保留与水泵典型机械和水力故障相关的样本类别，对不属于本阶段研究重点的电机电气类、叶轮联轴器类等类别暂不纳入最终 6 类建模数据。这样可以使论文主线更加集中，避免故障类别过多导致机理分析和实验讨论分散。</w:t>
      </w:r>
    </w:p>
    <w:p w14:paraId="2DD492EE">
      <w:pPr>
        <w:pStyle w:val="4"/>
      </w:pPr>
      <w:r>
        <w:rPr>
          <w:rFonts w:ascii="宋体" w:hAnsi="宋体" w:eastAsia="宋体"/>
          <w:sz w:val="22"/>
        </w:rPr>
        <w:t>4.2 故障类别合并与标签构建</w:t>
      </w:r>
    </w:p>
    <w:p w14:paraId="01168C43">
      <w:pPr>
        <w:ind w:firstLine="480" w:firstLineChars="200"/>
        <w:rPr>
          <w:sz w:val="24"/>
          <w:szCs w:val="24"/>
        </w:rPr>
      </w:pPr>
      <w:r>
        <w:rPr>
          <w:rFonts w:ascii="宋体" w:hAnsi="宋体" w:eastAsia="宋体"/>
          <w:sz w:val="24"/>
          <w:szCs w:val="24"/>
        </w:rPr>
        <w:t>原始公开数据中的故障名称较细，若直接将每一种原始状态作为单独类别，可能造成类别数量过多、部分类别样本不足和论文分析主线分散。结合第 2 章的故障机理分析，本文按工程含义将原始状态合并为正常类、</w:t>
      </w:r>
      <w:r>
        <w:rPr>
          <w:rFonts w:hint="eastAsia"/>
          <w:sz w:val="24"/>
          <w:szCs w:val="24"/>
          <w:lang w:val="en-US" w:eastAsia="zh-CN"/>
        </w:rPr>
        <w:t>转子</w:t>
      </w:r>
      <w:r>
        <w:rPr>
          <w:rFonts w:ascii="宋体" w:hAnsi="宋体" w:eastAsia="宋体"/>
          <w:sz w:val="24"/>
          <w:szCs w:val="24"/>
        </w:rPr>
        <w:t>不平衡类、</w:t>
      </w:r>
      <w:r>
        <w:rPr>
          <w:rFonts w:hint="eastAsia"/>
          <w:sz w:val="24"/>
          <w:szCs w:val="24"/>
          <w:lang w:val="en-US" w:eastAsia="zh-CN"/>
        </w:rPr>
        <w:t>联轴器</w:t>
      </w:r>
      <w:r>
        <w:rPr>
          <w:rFonts w:ascii="宋体" w:hAnsi="宋体" w:eastAsia="宋体"/>
          <w:sz w:val="24"/>
          <w:szCs w:val="24"/>
        </w:rPr>
        <w:t>不对中类、松动类、轴承故障类和汽蚀类 6 类。</w:t>
      </w:r>
    </w:p>
    <w:p w14:paraId="691028E6">
      <w:pPr>
        <w:ind w:firstLine="420" w:firstLineChars="200"/>
        <w:rPr>
          <w:sz w:val="24"/>
          <w:szCs w:val="24"/>
        </w:rPr>
      </w:pPr>
      <w:r>
        <w:rPr>
          <w:rFonts w:ascii="宋体" w:hAnsi="宋体" w:eastAsia="宋体"/>
          <w:sz w:val="21"/>
        </w:rPr>
        <w:t>其中，正常类仅保留正常状态样本，不将正常加噪声和新电机样本并入正常类；转子不平衡类包括泵不平衡和电机不平衡；联轴器不对中类包括角向不对中、平行不对中和组合不对中；松动类包括泵地脚松动、电机地脚松动和软脚；轴承故障类包括泵轴承故障、轴承内圈故障、轴承外圈故障、滚动体故障和轴承污染；汽蚀类包括吸入口汽蚀和出口汽蚀。叶轮故障、联轴器故障、弯轴、转子断条、定子短路和新电机等状态不纳入本阶段六分类建模，以保证类别定义与第 2 章故障机理分析一致。</w:t>
      </w:r>
    </w:p>
    <w:p w14:paraId="585D06CA">
      <w:pPr>
        <w:jc w:val="center"/>
        <w:rPr>
          <w:sz w:val="24"/>
          <w:szCs w:val="24"/>
        </w:rPr>
      </w:pPr>
      <w:r>
        <w:rPr>
          <w:rFonts w:ascii="宋体" w:hAnsi="宋体" w:eastAsia="宋体"/>
          <w:b/>
          <w:sz w:val="24"/>
          <w:szCs w:val="24"/>
        </w:rPr>
        <w:t>表 4-2 故障类别合并与样本数量</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255D2C6A">
        <w:trPr>
          <w:jc w:val="center"/>
        </w:trPr>
        <w:tc>
          <w:tcPr>
            <w:tcW w:w="3043" w:type="dxa"/>
            <w:shd w:val="clear" w:color="auto" w:fill="E8EEF5"/>
            <w:tcMar>
              <w:top w:w="100" w:type="dxa"/>
              <w:left w:w="100" w:type="dxa"/>
              <w:bottom w:w="100" w:type="dxa"/>
              <w:right w:w="100" w:type="dxa"/>
            </w:tcMar>
            <w:vAlign w:val="center"/>
          </w:tcPr>
          <w:p w14:paraId="5C2C3345">
            <w:pPr>
              <w:jc w:val="center"/>
            </w:pPr>
            <w:r>
              <w:rPr>
                <w:rFonts w:ascii="宋体" w:hAnsi="宋体" w:eastAsia="宋体"/>
                <w:b/>
                <w:sz w:val="21"/>
              </w:rPr>
              <w:t>类别</w:t>
            </w:r>
          </w:p>
        </w:tc>
        <w:tc>
          <w:tcPr>
            <w:tcW w:w="3043" w:type="dxa"/>
            <w:shd w:val="clear" w:color="auto" w:fill="E8EEF5"/>
            <w:tcMar>
              <w:top w:w="100" w:type="dxa"/>
              <w:left w:w="100" w:type="dxa"/>
              <w:bottom w:w="100" w:type="dxa"/>
              <w:right w:w="100" w:type="dxa"/>
            </w:tcMar>
            <w:vAlign w:val="center"/>
          </w:tcPr>
          <w:p w14:paraId="722E4BA0">
            <w:pPr>
              <w:jc w:val="center"/>
            </w:pPr>
            <w:r>
              <w:rPr>
                <w:rFonts w:ascii="宋体" w:hAnsi="宋体" w:eastAsia="宋体"/>
                <w:b/>
                <w:sz w:val="21"/>
              </w:rPr>
              <w:t>样本数</w:t>
            </w:r>
          </w:p>
        </w:tc>
        <w:tc>
          <w:tcPr>
            <w:tcW w:w="3043" w:type="dxa"/>
            <w:shd w:val="clear" w:color="auto" w:fill="E8EEF5"/>
            <w:tcMar>
              <w:top w:w="100" w:type="dxa"/>
              <w:left w:w="100" w:type="dxa"/>
              <w:bottom w:w="100" w:type="dxa"/>
              <w:right w:w="100" w:type="dxa"/>
            </w:tcMar>
            <w:vAlign w:val="center"/>
          </w:tcPr>
          <w:p w14:paraId="646C2BEF">
            <w:pPr>
              <w:jc w:val="center"/>
            </w:pPr>
            <w:r>
              <w:rPr>
                <w:rFonts w:ascii="宋体" w:hAnsi="宋体" w:eastAsia="宋体"/>
                <w:b/>
                <w:sz w:val="21"/>
              </w:rPr>
              <w:t>说明</w:t>
            </w:r>
          </w:p>
        </w:tc>
      </w:tr>
      <w:tr w14:paraId="2D3879B3">
        <w:trPr>
          <w:jc w:val="center"/>
        </w:trPr>
        <w:tc>
          <w:tcPr>
            <w:tcW w:w="3043" w:type="dxa"/>
            <w:tcMar>
              <w:top w:w="100" w:type="dxa"/>
              <w:left w:w="100" w:type="dxa"/>
              <w:bottom w:w="100" w:type="dxa"/>
              <w:right w:w="100" w:type="dxa"/>
            </w:tcMar>
            <w:vAlign w:val="center"/>
          </w:tcPr>
          <w:p w14:paraId="36F561FF">
            <w:pPr>
              <w:jc w:val="center"/>
            </w:pPr>
            <w:r>
              <w:rPr>
                <w:rFonts w:ascii="宋体" w:hAnsi="宋体" w:eastAsia="宋体"/>
                <w:b w:val="0"/>
                <w:sz w:val="21"/>
              </w:rPr>
              <w:t>正常类</w:t>
            </w:r>
          </w:p>
        </w:tc>
        <w:tc>
          <w:tcPr>
            <w:tcW w:w="3043" w:type="dxa"/>
            <w:tcMar>
              <w:top w:w="100" w:type="dxa"/>
              <w:left w:w="100" w:type="dxa"/>
              <w:bottom w:w="100" w:type="dxa"/>
              <w:right w:w="100" w:type="dxa"/>
            </w:tcMar>
            <w:vAlign w:val="center"/>
          </w:tcPr>
          <w:p w14:paraId="5DF69A2A">
            <w:pPr>
              <w:jc w:val="center"/>
            </w:pPr>
            <w:r>
              <w:rPr>
                <w:rFonts w:ascii="宋体" w:hAnsi="宋体" w:eastAsia="宋体"/>
                <w:b w:val="0"/>
                <w:sz w:val="21"/>
              </w:rPr>
              <w:t>82708</w:t>
            </w:r>
          </w:p>
        </w:tc>
        <w:tc>
          <w:tcPr>
            <w:tcW w:w="3043" w:type="dxa"/>
            <w:tcMar>
              <w:top w:w="100" w:type="dxa"/>
              <w:left w:w="100" w:type="dxa"/>
              <w:bottom w:w="100" w:type="dxa"/>
              <w:right w:w="100" w:type="dxa"/>
            </w:tcMar>
            <w:vAlign w:val="center"/>
          </w:tcPr>
          <w:p w14:paraId="23B99F95">
            <w:pPr>
              <w:jc w:val="center"/>
            </w:pPr>
            <w:r>
              <w:rPr>
                <w:rFonts w:ascii="宋体" w:hAnsi="宋体" w:eastAsia="宋体"/>
                <w:b w:val="0"/>
                <w:sz w:val="21"/>
              </w:rPr>
              <w:t>仅保留正常状态样本，不包含正常加噪声和新电机</w:t>
            </w:r>
          </w:p>
        </w:tc>
      </w:tr>
      <w:tr w14:paraId="7BC12C65">
        <w:trPr>
          <w:jc w:val="center"/>
        </w:trPr>
        <w:tc>
          <w:tcPr>
            <w:tcW w:w="3043" w:type="dxa"/>
            <w:tcMar>
              <w:top w:w="100" w:type="dxa"/>
              <w:left w:w="100" w:type="dxa"/>
              <w:bottom w:w="100" w:type="dxa"/>
              <w:right w:w="100" w:type="dxa"/>
            </w:tcMar>
            <w:vAlign w:val="center"/>
          </w:tcPr>
          <w:p w14:paraId="0F69A4A2">
            <w:pPr>
              <w:jc w:val="center"/>
            </w:pPr>
            <w:r>
              <w:rPr>
                <w:rFonts w:ascii="宋体" w:hAnsi="宋体" w:eastAsia="宋体"/>
                <w:b w:val="0"/>
                <w:sz w:val="21"/>
              </w:rPr>
              <w:t>转子不平衡类</w:t>
            </w:r>
          </w:p>
        </w:tc>
        <w:tc>
          <w:tcPr>
            <w:tcW w:w="3043" w:type="dxa"/>
            <w:tcMar>
              <w:top w:w="100" w:type="dxa"/>
              <w:left w:w="100" w:type="dxa"/>
              <w:bottom w:w="100" w:type="dxa"/>
              <w:right w:w="100" w:type="dxa"/>
            </w:tcMar>
            <w:vAlign w:val="center"/>
          </w:tcPr>
          <w:p w14:paraId="072C9A99">
            <w:pPr>
              <w:jc w:val="center"/>
            </w:pPr>
            <w:r>
              <w:rPr>
                <w:rFonts w:ascii="宋体" w:hAnsi="宋体" w:eastAsia="宋体"/>
                <w:b w:val="0"/>
                <w:sz w:val="21"/>
              </w:rPr>
              <w:t>14848</w:t>
            </w:r>
          </w:p>
        </w:tc>
        <w:tc>
          <w:tcPr>
            <w:tcW w:w="3043" w:type="dxa"/>
            <w:tcMar>
              <w:top w:w="100" w:type="dxa"/>
              <w:left w:w="100" w:type="dxa"/>
              <w:bottom w:w="100" w:type="dxa"/>
              <w:right w:w="100" w:type="dxa"/>
            </w:tcMar>
            <w:vAlign w:val="center"/>
          </w:tcPr>
          <w:p w14:paraId="7F922CC5">
            <w:pPr>
              <w:jc w:val="center"/>
            </w:pPr>
            <w:r>
              <w:rPr>
                <w:rFonts w:ascii="宋体" w:hAnsi="宋体" w:eastAsia="宋体"/>
                <w:b w:val="0"/>
                <w:sz w:val="21"/>
              </w:rPr>
              <w:t>泵不平衡、电机不平衡</w:t>
            </w:r>
          </w:p>
        </w:tc>
      </w:tr>
      <w:tr w14:paraId="44DAE999">
        <w:trPr>
          <w:jc w:val="center"/>
        </w:trPr>
        <w:tc>
          <w:tcPr>
            <w:tcW w:w="3043" w:type="dxa"/>
            <w:tcMar>
              <w:top w:w="100" w:type="dxa"/>
              <w:left w:w="100" w:type="dxa"/>
              <w:bottom w:w="100" w:type="dxa"/>
              <w:right w:w="100" w:type="dxa"/>
            </w:tcMar>
            <w:vAlign w:val="center"/>
          </w:tcPr>
          <w:p w14:paraId="5A396139">
            <w:pPr>
              <w:jc w:val="center"/>
            </w:pPr>
            <w:r>
              <w:rPr>
                <w:rFonts w:ascii="宋体" w:hAnsi="宋体" w:eastAsia="宋体"/>
                <w:b w:val="0"/>
                <w:sz w:val="21"/>
              </w:rPr>
              <w:t>联轴器不对中类</w:t>
            </w:r>
          </w:p>
        </w:tc>
        <w:tc>
          <w:tcPr>
            <w:tcW w:w="3043" w:type="dxa"/>
            <w:tcMar>
              <w:top w:w="100" w:type="dxa"/>
              <w:left w:w="100" w:type="dxa"/>
              <w:bottom w:w="100" w:type="dxa"/>
              <w:right w:w="100" w:type="dxa"/>
            </w:tcMar>
            <w:vAlign w:val="center"/>
          </w:tcPr>
          <w:p w14:paraId="40F923C5">
            <w:pPr>
              <w:jc w:val="center"/>
            </w:pPr>
            <w:r>
              <w:rPr>
                <w:rFonts w:ascii="宋体" w:hAnsi="宋体" w:eastAsia="宋体"/>
                <w:b w:val="0"/>
                <w:sz w:val="21"/>
              </w:rPr>
              <w:t>25172</w:t>
            </w:r>
          </w:p>
        </w:tc>
        <w:tc>
          <w:tcPr>
            <w:tcW w:w="3043" w:type="dxa"/>
            <w:tcMar>
              <w:top w:w="100" w:type="dxa"/>
              <w:left w:w="100" w:type="dxa"/>
              <w:bottom w:w="100" w:type="dxa"/>
              <w:right w:w="100" w:type="dxa"/>
            </w:tcMar>
            <w:vAlign w:val="center"/>
          </w:tcPr>
          <w:p w14:paraId="4776886C">
            <w:pPr>
              <w:jc w:val="center"/>
            </w:pPr>
            <w:r>
              <w:rPr>
                <w:rFonts w:ascii="宋体" w:hAnsi="宋体" w:eastAsia="宋体"/>
                <w:b w:val="0"/>
                <w:sz w:val="21"/>
              </w:rPr>
              <w:t>角向不对中、平行不对中、组合不对中</w:t>
            </w:r>
          </w:p>
        </w:tc>
      </w:tr>
      <w:tr w14:paraId="59AD0227">
        <w:trPr>
          <w:jc w:val="center"/>
        </w:trPr>
        <w:tc>
          <w:tcPr>
            <w:tcW w:w="3043" w:type="dxa"/>
            <w:tcMar>
              <w:top w:w="100" w:type="dxa"/>
              <w:left w:w="100" w:type="dxa"/>
              <w:bottom w:w="100" w:type="dxa"/>
              <w:right w:w="100" w:type="dxa"/>
            </w:tcMar>
            <w:vAlign w:val="center"/>
          </w:tcPr>
          <w:p w14:paraId="65E5EEAE">
            <w:pPr>
              <w:jc w:val="center"/>
            </w:pPr>
            <w:r>
              <w:rPr>
                <w:rFonts w:ascii="宋体" w:hAnsi="宋体" w:eastAsia="宋体"/>
                <w:b w:val="0"/>
                <w:sz w:val="21"/>
              </w:rPr>
              <w:t>松动类</w:t>
            </w:r>
          </w:p>
        </w:tc>
        <w:tc>
          <w:tcPr>
            <w:tcW w:w="3043" w:type="dxa"/>
            <w:tcMar>
              <w:top w:w="100" w:type="dxa"/>
              <w:left w:w="100" w:type="dxa"/>
              <w:bottom w:w="100" w:type="dxa"/>
              <w:right w:w="100" w:type="dxa"/>
            </w:tcMar>
            <w:vAlign w:val="center"/>
          </w:tcPr>
          <w:p w14:paraId="7A1BD7C3">
            <w:pPr>
              <w:jc w:val="center"/>
            </w:pPr>
            <w:r>
              <w:rPr>
                <w:rFonts w:ascii="宋体" w:hAnsi="宋体" w:eastAsia="宋体"/>
                <w:b w:val="0"/>
                <w:sz w:val="21"/>
              </w:rPr>
              <w:t>18908</w:t>
            </w:r>
          </w:p>
        </w:tc>
        <w:tc>
          <w:tcPr>
            <w:tcW w:w="3043" w:type="dxa"/>
            <w:tcMar>
              <w:top w:w="100" w:type="dxa"/>
              <w:left w:w="100" w:type="dxa"/>
              <w:bottom w:w="100" w:type="dxa"/>
              <w:right w:w="100" w:type="dxa"/>
            </w:tcMar>
            <w:vAlign w:val="center"/>
          </w:tcPr>
          <w:p w14:paraId="179FA23C">
            <w:pPr>
              <w:jc w:val="center"/>
            </w:pPr>
            <w:r>
              <w:rPr>
                <w:rFonts w:ascii="宋体" w:hAnsi="宋体" w:eastAsia="宋体"/>
                <w:b w:val="0"/>
                <w:sz w:val="21"/>
              </w:rPr>
              <w:t>泵地脚松动、电机地脚松动、软脚</w:t>
            </w:r>
          </w:p>
        </w:tc>
      </w:tr>
      <w:tr w14:paraId="00907BBF">
        <w:trPr>
          <w:jc w:val="center"/>
        </w:trPr>
        <w:tc>
          <w:tcPr>
            <w:tcW w:w="3043" w:type="dxa"/>
            <w:tcMar>
              <w:top w:w="100" w:type="dxa"/>
              <w:left w:w="100" w:type="dxa"/>
              <w:bottom w:w="100" w:type="dxa"/>
              <w:right w:w="100" w:type="dxa"/>
            </w:tcMar>
            <w:vAlign w:val="center"/>
          </w:tcPr>
          <w:p w14:paraId="58C72528">
            <w:pPr>
              <w:jc w:val="center"/>
            </w:pPr>
            <w:r>
              <w:rPr>
                <w:rFonts w:ascii="宋体" w:hAnsi="宋体" w:eastAsia="宋体"/>
                <w:b w:val="0"/>
                <w:sz w:val="21"/>
              </w:rPr>
              <w:t>轴承故障类</w:t>
            </w:r>
          </w:p>
        </w:tc>
        <w:tc>
          <w:tcPr>
            <w:tcW w:w="3043" w:type="dxa"/>
            <w:tcMar>
              <w:top w:w="100" w:type="dxa"/>
              <w:left w:w="100" w:type="dxa"/>
              <w:bottom w:w="100" w:type="dxa"/>
              <w:right w:w="100" w:type="dxa"/>
            </w:tcMar>
            <w:vAlign w:val="center"/>
          </w:tcPr>
          <w:p w14:paraId="0C92A08A">
            <w:pPr>
              <w:jc w:val="center"/>
            </w:pPr>
            <w:r>
              <w:rPr>
                <w:rFonts w:ascii="宋体" w:hAnsi="宋体" w:eastAsia="宋体"/>
                <w:b w:val="0"/>
                <w:sz w:val="21"/>
              </w:rPr>
              <w:t>57652</w:t>
            </w:r>
          </w:p>
        </w:tc>
        <w:tc>
          <w:tcPr>
            <w:tcW w:w="3043" w:type="dxa"/>
            <w:tcMar>
              <w:top w:w="100" w:type="dxa"/>
              <w:left w:w="100" w:type="dxa"/>
              <w:bottom w:w="100" w:type="dxa"/>
              <w:right w:w="100" w:type="dxa"/>
            </w:tcMar>
            <w:vAlign w:val="center"/>
          </w:tcPr>
          <w:p w14:paraId="6069818C">
            <w:pPr>
              <w:jc w:val="center"/>
            </w:pPr>
            <w:r>
              <w:rPr>
                <w:rFonts w:ascii="宋体" w:hAnsi="宋体" w:eastAsia="宋体"/>
                <w:b w:val="0"/>
                <w:sz w:val="21"/>
              </w:rPr>
              <w:t>泵轴承、内圈、外圈、滚动体、轴承污染</w:t>
            </w:r>
          </w:p>
        </w:tc>
      </w:tr>
      <w:tr w14:paraId="7698F806">
        <w:trPr>
          <w:jc w:val="center"/>
        </w:trPr>
        <w:tc>
          <w:tcPr>
            <w:tcW w:w="3043" w:type="dxa"/>
            <w:tcMar>
              <w:top w:w="100" w:type="dxa"/>
              <w:left w:w="100" w:type="dxa"/>
              <w:bottom w:w="100" w:type="dxa"/>
              <w:right w:w="100" w:type="dxa"/>
            </w:tcMar>
            <w:vAlign w:val="center"/>
          </w:tcPr>
          <w:p w14:paraId="0241D6C6">
            <w:pPr>
              <w:jc w:val="center"/>
            </w:pPr>
            <w:r>
              <w:rPr>
                <w:rFonts w:ascii="宋体" w:hAnsi="宋体" w:eastAsia="宋体"/>
                <w:b w:val="0"/>
                <w:sz w:val="21"/>
              </w:rPr>
              <w:t>汽蚀类</w:t>
            </w:r>
          </w:p>
        </w:tc>
        <w:tc>
          <w:tcPr>
            <w:tcW w:w="3043" w:type="dxa"/>
            <w:tcMar>
              <w:top w:w="100" w:type="dxa"/>
              <w:left w:w="100" w:type="dxa"/>
              <w:bottom w:w="100" w:type="dxa"/>
              <w:right w:w="100" w:type="dxa"/>
            </w:tcMar>
            <w:vAlign w:val="center"/>
          </w:tcPr>
          <w:p w14:paraId="4ECCA81E">
            <w:pPr>
              <w:jc w:val="center"/>
            </w:pPr>
            <w:r>
              <w:rPr>
                <w:rFonts w:ascii="宋体" w:hAnsi="宋体" w:eastAsia="宋体"/>
                <w:b w:val="0"/>
                <w:sz w:val="21"/>
              </w:rPr>
              <w:t>14732</w:t>
            </w:r>
          </w:p>
        </w:tc>
        <w:tc>
          <w:tcPr>
            <w:tcW w:w="3043" w:type="dxa"/>
            <w:tcMar>
              <w:top w:w="100" w:type="dxa"/>
              <w:left w:w="100" w:type="dxa"/>
              <w:bottom w:w="100" w:type="dxa"/>
              <w:right w:w="100" w:type="dxa"/>
            </w:tcMar>
            <w:vAlign w:val="center"/>
          </w:tcPr>
          <w:p w14:paraId="010EA129">
            <w:pPr>
              <w:jc w:val="center"/>
            </w:pPr>
            <w:r>
              <w:rPr>
                <w:rFonts w:ascii="宋体" w:hAnsi="宋体" w:eastAsia="宋体"/>
                <w:b w:val="0"/>
                <w:sz w:val="21"/>
              </w:rPr>
              <w:t>吸入口汽蚀和出口汽蚀样本</w:t>
            </w:r>
          </w:p>
        </w:tc>
      </w:tr>
    </w:tbl>
    <w:p w14:paraId="1F1E4247">
      <w:pPr>
        <w:jc w:val="center"/>
        <w:rPr>
          <w:sz w:val="24"/>
          <w:szCs w:val="24"/>
        </w:rPr>
      </w:pPr>
    </w:p>
    <w:p w14:paraId="4CB2E21A">
      <w:pPr>
        <w:jc w:val="center"/>
        <w:rPr>
          <w:sz w:val="24"/>
          <w:szCs w:val="24"/>
        </w:rPr>
      </w:pPr>
      <w:r>
        <w:rPr>
          <w:sz w:val="24"/>
          <w:szCs w:val="24"/>
        </w:rPr>
        <w:drawing>
          <wp:inline distT="0" distB="0" distL="114300" distR="114300">
            <wp:extent cx="5806440" cy="3529965"/>
            <wp:effectExtent l="0" t="0" r="1016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06440" cy="3530316"/>
                    </a:xfrm>
                    <a:prstGeom prst="rect">
                      <a:avLst/>
                    </a:prstGeom>
                  </pic:spPr>
                </pic:pic>
              </a:graphicData>
            </a:graphic>
          </wp:inline>
        </w:drawing>
      </w:r>
    </w:p>
    <w:p w14:paraId="5169F637">
      <w:pPr>
        <w:jc w:val="center"/>
        <w:rPr>
          <w:sz w:val="24"/>
          <w:szCs w:val="24"/>
        </w:rPr>
      </w:pPr>
      <w:r>
        <w:rPr>
          <w:rFonts w:ascii="宋体" w:hAnsi="宋体" w:eastAsia="宋体"/>
          <w:b/>
          <w:sz w:val="24"/>
          <w:szCs w:val="24"/>
        </w:rPr>
        <w:t>图 4-1 各故障类别样本数量分布</w:t>
      </w:r>
    </w:p>
    <w:p w14:paraId="71072765">
      <w:pPr>
        <w:ind w:firstLine="420" w:firstLineChars="200"/>
        <w:rPr>
          <w:sz w:val="24"/>
          <w:szCs w:val="24"/>
        </w:rPr>
      </w:pPr>
      <w:r>
        <w:rPr>
          <w:rFonts w:ascii="宋体" w:hAnsi="宋体" w:eastAsia="宋体"/>
          <w:sz w:val="21"/>
        </w:rPr>
        <w:t>从样本数量看，正常类和轴承故障类样本数量较多，汽蚀类和转子不平衡类样本相对较少，数据集中存在一定类别不均衡。因此，后续模型评价不能只看准确率，还需要结合宏平均 F1、加权 F1 和混淆矩阵综合判断各类别识别效果。</w:t>
      </w:r>
    </w:p>
    <w:p w14:paraId="71F5887C">
      <w:pPr>
        <w:pStyle w:val="4"/>
      </w:pPr>
      <w:r>
        <w:rPr>
          <w:rFonts w:ascii="宋体" w:hAnsi="宋体" w:eastAsia="宋体"/>
          <w:sz w:val="22"/>
        </w:rPr>
        <w:t>4.3 样本分段与特征标准化</w:t>
      </w:r>
    </w:p>
    <w:p w14:paraId="3CF4C98C">
      <w:pPr>
        <w:ind w:firstLine="420" w:firstLineChars="200"/>
        <w:rPr>
          <w:sz w:val="24"/>
          <w:szCs w:val="24"/>
        </w:rPr>
      </w:pPr>
      <w:r>
        <w:rPr>
          <w:rFonts w:ascii="宋体" w:hAnsi="宋体" w:eastAsia="宋体"/>
          <w:sz w:val="21"/>
        </w:rPr>
        <w:t>原始振动数据以时间序列形式保存，不能直接作为传统机器学习模型输入。本文选取通道 4，即泵驱动端轴承水平向振动信号作为主要分析对象。预处理阶段仅进行去直流分量和 10-8000 Hz 带通滤波，不在单个窗口内部进行标准差归一化，以保留真实幅值尺度。随后采用 4096 点窗口和 2048 点滑动步长进行分段，每个分段样本继承原始文件对应的故障标签。</w:t>
      </w:r>
    </w:p>
    <w:p w14:paraId="1D799E4F">
      <w:pPr>
        <w:ind w:firstLine="480" w:firstLineChars="200"/>
        <w:rPr>
          <w:sz w:val="24"/>
          <w:szCs w:val="24"/>
        </w:rPr>
      </w:pPr>
      <w:r>
        <w:t>经过分段和特征提取后，共获得 214020 个候选样本。本文采用 train_test_split 进行随机划分，测试集比例为 20%，stratify=y，random_state=42，得到训练集 171216 个样本、测试集 42804 个样本。候选特征包括时域、频域、小波包和包络谱四类。随机森林直接使用真实幅值尺度下的特征训练；BP 神经网络和 SVM 在训练集划分完成后，仅使用训练集均值和标准差进行 Z-score 标准化，再将同一组参数应用于测试集。</w:t>
      </w:r>
    </w:p>
    <w:p w14:paraId="0C06A0AE">
      <w:pPr>
        <w:jc w:val="center"/>
        <w:rPr>
          <w:sz w:val="24"/>
          <w:szCs w:val="24"/>
        </w:rPr>
      </w:pPr>
      <w:r>
        <w:rPr>
          <w:rFonts w:ascii="宋体" w:hAnsi="宋体" w:eastAsia="宋体"/>
          <w:b/>
          <w:sz w:val="24"/>
          <w:szCs w:val="24"/>
        </w:rPr>
        <w:t>表 4-3 数据集构建基本信息</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4"/>
        <w:gridCol w:w="4564"/>
      </w:tblGrid>
      <w:tr w14:paraId="3AD49455">
        <w:trPr>
          <w:jc w:val="center"/>
        </w:trPr>
        <w:tc>
          <w:tcPr>
            <w:tcW w:w="4564" w:type="dxa"/>
            <w:shd w:val="clear" w:color="auto" w:fill="E8EEF5"/>
            <w:tcMar>
              <w:top w:w="100" w:type="dxa"/>
              <w:left w:w="100" w:type="dxa"/>
              <w:bottom w:w="100" w:type="dxa"/>
              <w:right w:w="100" w:type="dxa"/>
            </w:tcMar>
            <w:vAlign w:val="center"/>
          </w:tcPr>
          <w:p w14:paraId="12EB3628">
            <w:pPr>
              <w:jc w:val="center"/>
            </w:pPr>
            <w:r>
              <w:rPr>
                <w:rFonts w:ascii="宋体" w:hAnsi="宋体" w:eastAsia="宋体"/>
                <w:b/>
                <w:sz w:val="21"/>
              </w:rPr>
              <w:t>项目</w:t>
            </w:r>
          </w:p>
        </w:tc>
        <w:tc>
          <w:tcPr>
            <w:tcW w:w="4564" w:type="dxa"/>
            <w:shd w:val="clear" w:color="auto" w:fill="E8EEF5"/>
            <w:tcMar>
              <w:top w:w="100" w:type="dxa"/>
              <w:left w:w="100" w:type="dxa"/>
              <w:bottom w:w="100" w:type="dxa"/>
              <w:right w:w="100" w:type="dxa"/>
            </w:tcMar>
            <w:vAlign w:val="center"/>
          </w:tcPr>
          <w:p w14:paraId="0A4CE689">
            <w:pPr>
              <w:jc w:val="center"/>
            </w:pPr>
            <w:r>
              <w:rPr>
                <w:rFonts w:ascii="宋体" w:hAnsi="宋体" w:eastAsia="宋体"/>
                <w:b/>
                <w:sz w:val="21"/>
              </w:rPr>
              <w:t>数值或说明</w:t>
            </w:r>
          </w:p>
        </w:tc>
      </w:tr>
      <w:tr w14:paraId="28AF3AC7">
        <w:trPr>
          <w:jc w:val="center"/>
        </w:trPr>
        <w:tc>
          <w:tcPr>
            <w:tcW w:w="4564" w:type="dxa"/>
            <w:tcMar>
              <w:top w:w="100" w:type="dxa"/>
              <w:left w:w="100" w:type="dxa"/>
              <w:bottom w:w="100" w:type="dxa"/>
              <w:right w:w="100" w:type="dxa"/>
            </w:tcMar>
            <w:vAlign w:val="center"/>
          </w:tcPr>
          <w:p w14:paraId="55EFE689">
            <w:pPr>
              <w:jc w:val="center"/>
            </w:pPr>
            <w:r>
              <w:rPr>
                <w:rFonts w:ascii="宋体" w:hAnsi="宋体" w:eastAsia="宋体"/>
                <w:b w:val="0"/>
                <w:sz w:val="21"/>
              </w:rPr>
              <w:t>数据对象</w:t>
            </w:r>
          </w:p>
        </w:tc>
        <w:tc>
          <w:tcPr>
            <w:tcW w:w="4564" w:type="dxa"/>
            <w:tcMar>
              <w:top w:w="100" w:type="dxa"/>
              <w:left w:w="100" w:type="dxa"/>
              <w:bottom w:w="100" w:type="dxa"/>
              <w:right w:w="100" w:type="dxa"/>
            </w:tcMar>
            <w:vAlign w:val="center"/>
          </w:tcPr>
          <w:p w14:paraId="5F5242DE">
            <w:pPr>
              <w:jc w:val="center"/>
            </w:pPr>
            <w:r>
              <w:rPr>
                <w:rFonts w:ascii="宋体" w:hAnsi="宋体" w:eastAsia="宋体"/>
                <w:b w:val="0"/>
                <w:sz w:val="21"/>
              </w:rPr>
              <w:t>Motor-2 与 Motor-4 通道 4 振动数据</w:t>
            </w:r>
          </w:p>
        </w:tc>
      </w:tr>
      <w:tr w14:paraId="577DFD62">
        <w:trPr>
          <w:jc w:val="center"/>
        </w:trPr>
        <w:tc>
          <w:tcPr>
            <w:tcW w:w="4564" w:type="dxa"/>
            <w:tcMar>
              <w:top w:w="100" w:type="dxa"/>
              <w:left w:w="100" w:type="dxa"/>
              <w:bottom w:w="100" w:type="dxa"/>
              <w:right w:w="100" w:type="dxa"/>
            </w:tcMar>
            <w:vAlign w:val="center"/>
          </w:tcPr>
          <w:p w14:paraId="33A100A3">
            <w:pPr>
              <w:jc w:val="center"/>
            </w:pPr>
            <w:r>
              <w:rPr>
                <w:rFonts w:ascii="宋体" w:hAnsi="宋体" w:eastAsia="宋体"/>
                <w:b w:val="0"/>
                <w:sz w:val="21"/>
              </w:rPr>
              <w:t>故障类别</w:t>
            </w:r>
          </w:p>
        </w:tc>
        <w:tc>
          <w:tcPr>
            <w:tcW w:w="4564" w:type="dxa"/>
            <w:tcMar>
              <w:top w:w="100" w:type="dxa"/>
              <w:left w:w="100" w:type="dxa"/>
              <w:bottom w:w="100" w:type="dxa"/>
              <w:right w:w="100" w:type="dxa"/>
            </w:tcMar>
            <w:vAlign w:val="center"/>
          </w:tcPr>
          <w:p w14:paraId="74D145C1">
            <w:pPr>
              <w:jc w:val="center"/>
            </w:pPr>
            <w:r>
              <w:rPr>
                <w:rFonts w:ascii="宋体" w:hAnsi="宋体" w:eastAsia="宋体"/>
                <w:b w:val="0"/>
                <w:sz w:val="21"/>
              </w:rPr>
              <w:t>正常、转子不平衡、联轴器不对中、松动、轴承故障、汽蚀 6 类</w:t>
            </w:r>
          </w:p>
        </w:tc>
      </w:tr>
      <w:tr w14:paraId="19D49F5A">
        <w:trPr>
          <w:jc w:val="center"/>
        </w:trPr>
        <w:tc>
          <w:tcPr>
            <w:tcW w:w="4564" w:type="dxa"/>
            <w:tcMar>
              <w:top w:w="100" w:type="dxa"/>
              <w:left w:w="100" w:type="dxa"/>
              <w:bottom w:w="100" w:type="dxa"/>
              <w:right w:w="100" w:type="dxa"/>
            </w:tcMar>
            <w:vAlign w:val="center"/>
          </w:tcPr>
          <w:p w14:paraId="0079FCB3">
            <w:pPr>
              <w:jc w:val="center"/>
            </w:pPr>
            <w:r>
              <w:rPr>
                <w:rFonts w:ascii="宋体" w:hAnsi="宋体" w:eastAsia="宋体"/>
                <w:b w:val="0"/>
                <w:sz w:val="21"/>
              </w:rPr>
              <w:t>总样本数</w:t>
            </w:r>
          </w:p>
        </w:tc>
        <w:tc>
          <w:tcPr>
            <w:tcW w:w="4564" w:type="dxa"/>
            <w:tcMar>
              <w:top w:w="100" w:type="dxa"/>
              <w:left w:w="100" w:type="dxa"/>
              <w:bottom w:w="100" w:type="dxa"/>
              <w:right w:w="100" w:type="dxa"/>
            </w:tcMar>
            <w:vAlign w:val="center"/>
          </w:tcPr>
          <w:p w14:paraId="2E4F5D04">
            <w:pPr>
              <w:jc w:val="center"/>
            </w:pPr>
            <w:r>
              <w:rPr>
                <w:rFonts w:ascii="宋体" w:hAnsi="宋体" w:eastAsia="宋体"/>
                <w:b w:val="0"/>
                <w:sz w:val="21"/>
              </w:rPr>
              <w:t>214020</w:t>
            </w:r>
          </w:p>
        </w:tc>
      </w:tr>
      <w:tr w14:paraId="40B56241">
        <w:trPr>
          <w:jc w:val="center"/>
        </w:trPr>
        <w:tc>
          <w:tcPr>
            <w:tcW w:w="4564" w:type="dxa"/>
            <w:tcMar>
              <w:top w:w="100" w:type="dxa"/>
              <w:left w:w="100" w:type="dxa"/>
              <w:bottom w:w="100" w:type="dxa"/>
              <w:right w:w="100" w:type="dxa"/>
            </w:tcMar>
            <w:vAlign w:val="center"/>
          </w:tcPr>
          <w:p w14:paraId="4DA85516">
            <w:pPr>
              <w:jc w:val="center"/>
            </w:pPr>
            <w:r>
              <w:rPr>
                <w:rFonts w:ascii="宋体" w:hAnsi="宋体" w:eastAsia="宋体"/>
                <w:b w:val="0"/>
                <w:sz w:val="21"/>
              </w:rPr>
              <w:t>训练集样本数</w:t>
            </w:r>
          </w:p>
        </w:tc>
        <w:tc>
          <w:tcPr>
            <w:tcW w:w="4564" w:type="dxa"/>
            <w:tcMar>
              <w:top w:w="100" w:type="dxa"/>
              <w:left w:w="100" w:type="dxa"/>
              <w:bottom w:w="100" w:type="dxa"/>
              <w:right w:w="100" w:type="dxa"/>
            </w:tcMar>
            <w:vAlign w:val="center"/>
          </w:tcPr>
          <w:p w14:paraId="1707D8DF">
            <w:pPr>
              <w:jc w:val="center"/>
            </w:pPr>
            <w:r>
              <w:rPr>
                <w:rFonts w:ascii="宋体" w:hAnsi="宋体" w:eastAsia="宋体"/>
                <w:b w:val="0"/>
                <w:sz w:val="21"/>
              </w:rPr>
              <w:t>171216</w:t>
            </w:r>
          </w:p>
        </w:tc>
      </w:tr>
      <w:tr w14:paraId="4025618A">
        <w:trPr>
          <w:jc w:val="center"/>
        </w:trPr>
        <w:tc>
          <w:tcPr>
            <w:tcW w:w="4564" w:type="dxa"/>
            <w:tcMar>
              <w:top w:w="100" w:type="dxa"/>
              <w:left w:w="100" w:type="dxa"/>
              <w:bottom w:w="100" w:type="dxa"/>
              <w:right w:w="100" w:type="dxa"/>
            </w:tcMar>
            <w:vAlign w:val="center"/>
          </w:tcPr>
          <w:p w14:paraId="7FF275FF">
            <w:pPr>
              <w:jc w:val="center"/>
            </w:pPr>
            <w:r>
              <w:rPr>
                <w:rFonts w:ascii="宋体" w:hAnsi="宋体" w:eastAsia="宋体"/>
                <w:b w:val="0"/>
                <w:sz w:val="21"/>
              </w:rPr>
              <w:t>测试集样本数</w:t>
            </w:r>
          </w:p>
        </w:tc>
        <w:tc>
          <w:tcPr>
            <w:tcW w:w="4564" w:type="dxa"/>
            <w:tcMar>
              <w:top w:w="100" w:type="dxa"/>
              <w:left w:w="100" w:type="dxa"/>
              <w:bottom w:w="100" w:type="dxa"/>
              <w:right w:w="100" w:type="dxa"/>
            </w:tcMar>
            <w:vAlign w:val="center"/>
          </w:tcPr>
          <w:p w14:paraId="694CFD55">
            <w:pPr>
              <w:jc w:val="center"/>
            </w:pPr>
            <w:r>
              <w:rPr>
                <w:rFonts w:ascii="宋体" w:hAnsi="宋体" w:eastAsia="宋体"/>
                <w:b w:val="0"/>
                <w:sz w:val="21"/>
              </w:rPr>
              <w:t>42804</w:t>
            </w:r>
          </w:p>
        </w:tc>
      </w:tr>
      <w:tr w14:paraId="4DA0A7D0">
        <w:trPr>
          <w:jc w:val="center"/>
        </w:trPr>
        <w:tc>
          <w:tcPr>
            <w:tcW w:w="4564" w:type="dxa"/>
            <w:tcMar>
              <w:top w:w="100" w:type="dxa"/>
              <w:left w:w="100" w:type="dxa"/>
              <w:bottom w:w="100" w:type="dxa"/>
              <w:right w:w="100" w:type="dxa"/>
            </w:tcMar>
            <w:vAlign w:val="center"/>
          </w:tcPr>
          <w:p w14:paraId="77529C50">
            <w:pPr>
              <w:jc w:val="center"/>
            </w:pPr>
            <w:r>
              <w:rPr>
                <w:rFonts w:ascii="宋体" w:hAnsi="宋体" w:eastAsia="宋体"/>
                <w:b w:val="0"/>
                <w:sz w:val="21"/>
              </w:rPr>
              <w:t>候选特征维数</w:t>
            </w:r>
          </w:p>
        </w:tc>
        <w:tc>
          <w:tcPr>
            <w:tcW w:w="4564" w:type="dxa"/>
            <w:tcMar>
              <w:top w:w="100" w:type="dxa"/>
              <w:left w:w="100" w:type="dxa"/>
              <w:bottom w:w="100" w:type="dxa"/>
              <w:right w:w="100" w:type="dxa"/>
            </w:tcMar>
            <w:vAlign w:val="center"/>
          </w:tcPr>
          <w:p w14:paraId="0E93E716">
            <w:pPr>
              <w:jc w:val="center"/>
            </w:pPr>
            <w:r>
              <w:rPr>
                <w:rFonts w:ascii="宋体" w:hAnsi="宋体" w:eastAsia="宋体"/>
                <w:b w:val="0"/>
                <w:sz w:val="21"/>
              </w:rPr>
              <w:t>36</w:t>
            </w:r>
          </w:p>
        </w:tc>
      </w:tr>
      <w:tr w14:paraId="3A672D1D">
        <w:trPr>
          <w:jc w:val="center"/>
        </w:trPr>
        <w:tc>
          <w:tcPr>
            <w:tcW w:w="4564" w:type="dxa"/>
            <w:tcMar>
              <w:top w:w="100" w:type="dxa"/>
              <w:left w:w="100" w:type="dxa"/>
              <w:bottom w:w="100" w:type="dxa"/>
              <w:right w:w="100" w:type="dxa"/>
            </w:tcMar>
            <w:vAlign w:val="center"/>
          </w:tcPr>
          <w:p w14:paraId="16DB1887">
            <w:pPr>
              <w:jc w:val="center"/>
            </w:pPr>
            <w:r>
              <w:rPr>
                <w:rFonts w:ascii="宋体" w:hAnsi="宋体" w:eastAsia="宋体"/>
                <w:b w:val="0"/>
                <w:sz w:val="21"/>
              </w:rPr>
              <w:t>最终入模特征维数</w:t>
            </w:r>
          </w:p>
        </w:tc>
        <w:tc>
          <w:tcPr>
            <w:tcW w:w="4564" w:type="dxa"/>
            <w:tcMar>
              <w:top w:w="100" w:type="dxa"/>
              <w:left w:w="100" w:type="dxa"/>
              <w:bottom w:w="100" w:type="dxa"/>
              <w:right w:w="100" w:type="dxa"/>
            </w:tcMar>
            <w:vAlign w:val="center"/>
          </w:tcPr>
          <w:p w14:paraId="4BA81112">
            <w:pPr>
              <w:jc w:val="center"/>
            </w:pPr>
            <w:r>
              <w:rPr>
                <w:rFonts w:ascii="宋体" w:hAnsi="宋体" w:eastAsia="宋体"/>
                <w:b w:val="0"/>
                <w:sz w:val="21"/>
              </w:rPr>
              <w:t>25</w:t>
            </w:r>
          </w:p>
        </w:tc>
      </w:tr>
      <w:tr w14:paraId="7201D674">
        <w:trPr>
          <w:jc w:val="center"/>
        </w:trPr>
        <w:tc>
          <w:tcPr>
            <w:tcW w:w="4564" w:type="dxa"/>
            <w:tcMar>
              <w:top w:w="100" w:type="dxa"/>
              <w:left w:w="100" w:type="dxa"/>
              <w:bottom w:w="100" w:type="dxa"/>
              <w:right w:w="100" w:type="dxa"/>
            </w:tcMar>
            <w:vAlign w:val="center"/>
          </w:tcPr>
          <w:p w14:paraId="1E1D64F9">
            <w:pPr>
              <w:jc w:val="center"/>
            </w:pPr>
            <w:r>
              <w:rPr>
                <w:rFonts w:ascii="宋体" w:hAnsi="宋体" w:eastAsia="宋体"/>
                <w:b w:val="0"/>
                <w:sz w:val="21"/>
              </w:rPr>
              <w:t>滤波范围</w:t>
            </w:r>
          </w:p>
        </w:tc>
        <w:tc>
          <w:tcPr>
            <w:tcW w:w="4564" w:type="dxa"/>
            <w:tcMar>
              <w:top w:w="100" w:type="dxa"/>
              <w:left w:w="100" w:type="dxa"/>
              <w:bottom w:w="100" w:type="dxa"/>
              <w:right w:w="100" w:type="dxa"/>
            </w:tcMar>
            <w:vAlign w:val="center"/>
          </w:tcPr>
          <w:p w14:paraId="5BC9A25D">
            <w:pPr>
              <w:jc w:val="center"/>
            </w:pPr>
            <w:r>
              <w:rPr>
                <w:rFonts w:ascii="宋体" w:hAnsi="宋体" w:eastAsia="宋体"/>
                <w:b w:val="0"/>
                <w:sz w:val="21"/>
              </w:rPr>
              <w:t>10-8000 Hz，3000-8000 Hz 仅用于包络解调</w:t>
            </w:r>
          </w:p>
        </w:tc>
      </w:tr>
    </w:tbl>
    <w:p w14:paraId="325118D6">
      <w:pPr>
        <w:jc w:val="center"/>
        <w:rPr>
          <w:b/>
        </w:rPr>
      </w:pPr>
    </w:p>
    <w:p w14:paraId="0E7FA4C4">
      <w:pPr>
        <w:jc w:val="center"/>
      </w:pPr>
      <w:r>
        <w:rPr>
          <w:b/>
        </w:rPr>
        <w:t>图 4-2 六类故障样本的时域波形对比</w:t>
      </w:r>
    </w:p>
    <w:p w14:paraId="681C2B4B">
      <w:pPr>
        <w:jc w:val="center"/>
      </w:pPr>
      <w:r>
        <w:drawing>
          <wp:inline distT="0" distB="0" distL="114300" distR="114300">
            <wp:extent cx="5066665" cy="3166745"/>
            <wp:effectExtent l="0" t="0" r="133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066665" cy="3166745"/>
                    </a:xfrm>
                    <a:prstGeom prst="rect">
                      <a:avLst/>
                    </a:prstGeom>
                  </pic:spPr>
                </pic:pic>
              </a:graphicData>
            </a:graphic>
          </wp:inline>
        </w:drawing>
      </w:r>
    </w:p>
    <w:p w14:paraId="299DEA32">
      <w:pPr>
        <w:ind w:firstLine="480" w:firstLineChars="200"/>
      </w:pPr>
      <w:r>
        <w:t>图 4-2 展示了六类状态在同一窗口长度下的时域波形差异。从最终特征统计结果看，汽蚀类 RMS 均值最高，约为 0.4810；联轴器不对中类 RMS 均值约为 0.4361，也明显高于正常类的 0.2542。松动和轴承故障样本虽然平均 RMS 不一定最高，但更容易出现局部尖峰和冲击形态，因此候选特征中提取峭度、峰值因子和脉冲因子用于描述这类波形差异。经训练集特征筛选后，这些冲击统计量未进入最终 25 维特征集合，说明其信息可能已被 RMS、包络谱和小波包特征部分替代。</w:t>
      </w:r>
    </w:p>
    <w:p w14:paraId="6039D771">
      <w:pPr>
        <w:jc w:val="center"/>
      </w:pPr>
      <w:r>
        <w:rPr>
          <w:b/>
        </w:rPr>
        <w:t>图 4-3 六类故障样本的频域频谱对比</w:t>
      </w:r>
    </w:p>
    <w:p w14:paraId="2A85AA65">
      <w:pPr>
        <w:jc w:val="center"/>
      </w:pPr>
      <w:r>
        <w:drawing>
          <wp:inline distT="0" distB="0" distL="114300" distR="114300">
            <wp:extent cx="4660900" cy="2913380"/>
            <wp:effectExtent l="0" t="0" r="1270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660900" cy="2913380"/>
                    </a:xfrm>
                    <a:prstGeom prst="rect">
                      <a:avLst/>
                    </a:prstGeom>
                  </pic:spPr>
                </pic:pic>
              </a:graphicData>
            </a:graphic>
          </wp:inline>
        </w:drawing>
      </w:r>
    </w:p>
    <w:p w14:paraId="352266B6">
      <w:pPr>
        <w:ind w:firstLine="480" w:firstLineChars="200"/>
      </w:pPr>
      <w:r>
        <w:t>图 4-3 反映了不同故障在频域上的差异。按类别均值统计，转子不平衡类 1X 幅值最高，约为 0.0234；联轴器不对中类 2X 和 3X 幅值最高，分别约为 0.0496 和 0.0403，符合不平衡主要表现为 1X 增强、不对中更容易伴随倍频增强的机理。汽蚀类高频能量占比约为 0.2644，高于其他类别，说明其宽频随机成分更明显。</w:t>
      </w:r>
    </w:p>
    <w:p w14:paraId="5702F65E">
      <w:pPr>
        <w:jc w:val="center"/>
      </w:pPr>
      <w:r>
        <w:rPr>
          <w:b/>
        </w:rPr>
        <w:t>图 4-4 六类故障样本的小波包能量占比对比</w:t>
      </w:r>
    </w:p>
    <w:p w14:paraId="20E35468">
      <w:pPr>
        <w:jc w:val="center"/>
      </w:pPr>
      <w:r>
        <w:drawing>
          <wp:inline distT="0" distB="0" distL="114300" distR="114300">
            <wp:extent cx="5394960" cy="3371850"/>
            <wp:effectExtent l="0" t="0" r="152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394960" cy="3371850"/>
                    </a:xfrm>
                    <a:prstGeom prst="rect">
                      <a:avLst/>
                    </a:prstGeom>
                  </pic:spPr>
                </pic:pic>
              </a:graphicData>
            </a:graphic>
          </wp:inline>
        </w:drawing>
      </w:r>
    </w:p>
    <w:p w14:paraId="4266110B">
      <w:pPr>
        <w:ind w:firstLine="480" w:firstLineChars="200"/>
      </w:pPr>
      <w:r>
        <w:t>图 4-4 给出了小波包不同节点能量占比。统计结果显示，正常类节点 0 能量占比最高，均值约为 0.7074，表明其能量在该小波包节点对应频带内更集中；汽蚀类节点 1、节点 2、节点 6 和节点 7 占比相对更高，节点 7 占比约为 0.0628；轴承故障类节点 3 占比最高，约为 0.0898。由于本文小波包节点编号未直接等同于严格低高频排序，正文仅按节点编号解释能量分布差异，小波包特征能够补充 FFT 对非平稳频带能量变化描述不足的问题。</w:t>
      </w:r>
    </w:p>
    <w:p w14:paraId="16735D9A">
      <w:pPr>
        <w:jc w:val="center"/>
      </w:pPr>
      <w:r>
        <w:rPr>
          <w:b/>
        </w:rPr>
        <w:t>图 4-5 六类故障样本的包络谱对比</w:t>
      </w:r>
    </w:p>
    <w:p w14:paraId="27D2C708">
      <w:pPr>
        <w:jc w:val="center"/>
      </w:pPr>
      <w:r>
        <w:drawing>
          <wp:inline distT="0" distB="0" distL="114300" distR="114300">
            <wp:extent cx="5394960" cy="3371850"/>
            <wp:effectExtent l="0" t="0" r="152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394960" cy="3371850"/>
                    </a:xfrm>
                    <a:prstGeom prst="rect">
                      <a:avLst/>
                    </a:prstGeom>
                  </pic:spPr>
                </pic:pic>
              </a:graphicData>
            </a:graphic>
          </wp:inline>
        </w:drawing>
      </w:r>
    </w:p>
    <w:p w14:paraId="71D1F060">
      <w:pPr>
        <w:ind w:firstLine="480" w:firstLineChars="200"/>
      </w:pPr>
      <w:r>
        <w:t>图 4-5 展示了高频共振带解调后的包络谱结果。按类别均值统计，松动类包络峭度约为 24.2024、包络峰值因子约为 6.9260，均明显高于其他类别，说明其包络信号冲击形态突出；轴承故障类包络峭度约为 12.4548，也高于正常类的 8.7048。汽蚀类包络谱 1X 邻域能量均值约为 0.0033，高于其他类别，表明包络谱低频调制特征可为冲击类和汽蚀类状态识别提供补充信息。</w:t>
      </w:r>
    </w:p>
    <w:p w14:paraId="7984F3A4">
      <w:pPr>
        <w:ind w:firstLine="480" w:firstLineChars="200"/>
        <w:rPr>
          <w:sz w:val="24"/>
          <w:szCs w:val="24"/>
        </w:rPr>
      </w:pPr>
      <w:r>
        <w:t>滑动窗口分段虽然能够增加样本数量，但相邻窗口之间存在重叠，样本相关性较强。如果采用随机划分训练集和测试集，模型结果可能高于真实工程场景下的泛化性能。此外，由表 4-1 可见，不同设备和工况包含的故障类别并不完全一致，难以直接进行完整六分类跨设备验证。因此，本文将该实验明确定位为公开数据集算法预验证，后续主要通过实验室独立采集数据开展外部验证。</w:t>
      </w:r>
    </w:p>
    <w:p w14:paraId="0A04C338">
      <w:pPr>
        <w:pStyle w:val="4"/>
      </w:pPr>
      <w:r>
        <w:rPr>
          <w:rFonts w:ascii="宋体" w:hAnsi="宋体" w:eastAsia="宋体"/>
          <w:sz w:val="22"/>
        </w:rPr>
        <w:t>4.4 关键特征选择</w:t>
      </w:r>
    </w:p>
    <w:p w14:paraId="19C244D0">
      <w:pPr>
        <w:ind w:firstLine="480" w:firstLineChars="200"/>
        <w:rPr>
          <w:sz w:val="24"/>
          <w:szCs w:val="24"/>
        </w:rPr>
      </w:pPr>
      <w:r>
        <w:t>本文在多维特征提取基础上，首先删除训练集中的常数特征，并删除相关系数绝对值超过 0.95 的高度重复特征。随后仅在训练集上训练随机森林并计算特征重要性，对完成相关性筛选后的特征按重要性由高到低排序，直接选取前 25 项作为三类模型的最终输入特征。最终特征不包含电机编号、转速、源文件、原始故障名称、故障严重程度、测次编号、窗口起始时间和样本编号等元数据列，避免模型利用与故障机理无关的信息。</w:t>
      </w:r>
    </w:p>
    <w:p w14:paraId="54267C26">
      <w:pPr>
        <w:jc w:val="center"/>
        <w:rPr>
          <w:sz w:val="24"/>
          <w:szCs w:val="24"/>
        </w:rPr>
      </w:pPr>
      <w:r>
        <w:rPr>
          <w:rFonts w:ascii="宋体" w:hAnsi="宋体" w:eastAsia="宋体"/>
          <w:b/>
          <w:sz w:val="24"/>
          <w:szCs w:val="24"/>
        </w:rPr>
        <w:t>表 4-4 关键特征构成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43ABBA7F">
        <w:tc>
          <w:tcPr>
            <w:tcW w:w="3009" w:type="dxa"/>
          </w:tcPr>
          <w:p w14:paraId="45FFB3F7">
            <w:r>
              <w:rPr>
                <w:b/>
              </w:rPr>
              <w:t>特征类别</w:t>
            </w:r>
          </w:p>
        </w:tc>
        <w:tc>
          <w:tcPr>
            <w:tcW w:w="3009" w:type="dxa"/>
          </w:tcPr>
          <w:p w14:paraId="51C1902F">
            <w:r>
              <w:rPr>
                <w:b/>
              </w:rPr>
              <w:t>最终保留特征</w:t>
            </w:r>
          </w:p>
        </w:tc>
        <w:tc>
          <w:tcPr>
            <w:tcW w:w="3009" w:type="dxa"/>
          </w:tcPr>
          <w:p w14:paraId="7525419B">
            <w:r>
              <w:rPr>
                <w:b/>
              </w:rPr>
              <w:t>数量</w:t>
            </w:r>
          </w:p>
        </w:tc>
      </w:tr>
      <w:tr w14:paraId="1F071452">
        <w:tc>
          <w:tcPr>
            <w:tcW w:w="3009" w:type="dxa"/>
          </w:tcPr>
          <w:p w14:paraId="1028C2D9">
            <w:r>
              <w:t>时域</w:t>
            </w:r>
          </w:p>
        </w:tc>
        <w:tc>
          <w:tcPr>
            <w:tcW w:w="3009" w:type="dxa"/>
          </w:tcPr>
          <w:p w14:paraId="331A1965">
            <w:r>
              <w:t>均方根值</w:t>
            </w:r>
          </w:p>
        </w:tc>
        <w:tc>
          <w:tcPr>
            <w:tcW w:w="3009" w:type="dxa"/>
          </w:tcPr>
          <w:p w14:paraId="1FD58183">
            <w:r>
              <w:t>1</w:t>
            </w:r>
          </w:p>
        </w:tc>
      </w:tr>
      <w:tr w14:paraId="1D51E22F">
        <w:tc>
          <w:tcPr>
            <w:tcW w:w="3009" w:type="dxa"/>
          </w:tcPr>
          <w:p w14:paraId="2A70E0CE">
            <w:r>
              <w:t>倍频</w:t>
            </w:r>
          </w:p>
        </w:tc>
        <w:tc>
          <w:tcPr>
            <w:tcW w:w="3009" w:type="dxa"/>
          </w:tcPr>
          <w:p w14:paraId="685F0861">
            <w:r>
              <w:t>1X/2X/3X 幅值，1X/2X/3X 邻域能量</w:t>
            </w:r>
          </w:p>
        </w:tc>
        <w:tc>
          <w:tcPr>
            <w:tcW w:w="3009" w:type="dxa"/>
          </w:tcPr>
          <w:p w14:paraId="0DD37B4D">
            <w:r>
              <w:t>6</w:t>
            </w:r>
          </w:p>
        </w:tc>
      </w:tr>
      <w:tr w14:paraId="1ABAD5BA">
        <w:tc>
          <w:tcPr>
            <w:tcW w:w="3009" w:type="dxa"/>
          </w:tcPr>
          <w:p w14:paraId="30E48594">
            <w:r>
              <w:t>频谱整体</w:t>
            </w:r>
          </w:p>
        </w:tc>
        <w:tc>
          <w:tcPr>
            <w:tcW w:w="3009" w:type="dxa"/>
          </w:tcPr>
          <w:p w14:paraId="04554180">
            <w:r>
              <w:t>主频、频谱重心</w:t>
            </w:r>
          </w:p>
        </w:tc>
        <w:tc>
          <w:tcPr>
            <w:tcW w:w="3009" w:type="dxa"/>
          </w:tcPr>
          <w:p w14:paraId="04A03EAA">
            <w:r>
              <w:t>2</w:t>
            </w:r>
          </w:p>
        </w:tc>
      </w:tr>
      <w:tr w14:paraId="2443DE64">
        <w:tc>
          <w:tcPr>
            <w:tcW w:w="3009" w:type="dxa"/>
          </w:tcPr>
          <w:p w14:paraId="52094FD4">
            <w:r>
              <w:t>频带能量</w:t>
            </w:r>
          </w:p>
        </w:tc>
        <w:tc>
          <w:tcPr>
            <w:tcW w:w="3009" w:type="dxa"/>
          </w:tcPr>
          <w:p w14:paraId="60306A2F">
            <w:r>
              <w:t>低频能量占比(10-500 Hz)、中频能量占比(500-3000 Hz)、高频能量占比(3000-8000 Hz)</w:t>
            </w:r>
          </w:p>
        </w:tc>
        <w:tc>
          <w:tcPr>
            <w:tcW w:w="3009" w:type="dxa"/>
          </w:tcPr>
          <w:p w14:paraId="2E456BA4">
            <w:r>
              <w:t>3</w:t>
            </w:r>
          </w:p>
        </w:tc>
      </w:tr>
      <w:tr w14:paraId="539B82BF">
        <w:tc>
          <w:tcPr>
            <w:tcW w:w="3009" w:type="dxa"/>
          </w:tcPr>
          <w:p w14:paraId="5C1AD9D7">
            <w:r>
              <w:t>小波包</w:t>
            </w:r>
          </w:p>
        </w:tc>
        <w:tc>
          <w:tcPr>
            <w:tcW w:w="3009" w:type="dxa"/>
          </w:tcPr>
          <w:p w14:paraId="0B48C3C8">
            <w:r>
              <w:t>db4 三层小波包节点 0、1、2、3、5、6、7 能量占比（每个节点理论带宽约 1250 Hz，按程序节点编号命名）</w:t>
            </w:r>
          </w:p>
        </w:tc>
        <w:tc>
          <w:tcPr>
            <w:tcW w:w="3009" w:type="dxa"/>
          </w:tcPr>
          <w:p w14:paraId="48FA2A19">
            <w:r>
              <w:t>7</w:t>
            </w:r>
          </w:p>
        </w:tc>
      </w:tr>
      <w:tr w14:paraId="64588C27">
        <w:tc>
          <w:tcPr>
            <w:tcW w:w="3009" w:type="dxa"/>
          </w:tcPr>
          <w:p w14:paraId="34C58272">
            <w:r>
              <w:t>包络谱</w:t>
            </w:r>
          </w:p>
        </w:tc>
        <w:tc>
          <w:tcPr>
            <w:tcW w:w="3009" w:type="dxa"/>
          </w:tcPr>
          <w:p w14:paraId="474F9118">
            <w:r>
              <w:t>包络峭度、包络峰值因子、包络谱主频幅值、包络谱 0-100 Hz 能量占比、包络谱 1000-3000 Hz 能量占比、包络谱 1X 邻域能量</w:t>
            </w:r>
          </w:p>
        </w:tc>
        <w:tc>
          <w:tcPr>
            <w:tcW w:w="3009" w:type="dxa"/>
          </w:tcPr>
          <w:p w14:paraId="6E59B29B">
            <w:r>
              <w:t>6</w:t>
            </w:r>
          </w:p>
        </w:tc>
      </w:tr>
      <w:tr w14:paraId="2D1AF39B">
        <w:tc>
          <w:tcPr>
            <w:tcW w:w="3009" w:type="dxa"/>
          </w:tcPr>
          <w:p w14:paraId="5B4080EC">
            <w:r>
              <w:t>合计</w:t>
            </w:r>
          </w:p>
        </w:tc>
        <w:tc>
          <w:tcPr>
            <w:tcW w:w="3009" w:type="dxa"/>
          </w:tcPr>
          <w:p w14:paraId="28E62487">
            <w:r>
              <w:t>最终入模特征</w:t>
            </w:r>
          </w:p>
        </w:tc>
        <w:tc>
          <w:tcPr>
            <w:tcW w:w="3009" w:type="dxa"/>
          </w:tcPr>
          <w:p w14:paraId="5565BA6E">
            <w:r>
              <w:t>25</w:t>
            </w:r>
          </w:p>
        </w:tc>
      </w:tr>
    </w:tbl>
    <w:p w14:paraId="63F0EDE0">
      <w:pPr>
        <w:ind w:firstLine="480" w:firstLineChars="200"/>
        <w:rPr>
          <w:rFonts w:ascii="宋体" w:hAnsi="宋体" w:eastAsia="宋体"/>
          <w:sz w:val="24"/>
          <w:szCs w:val="24"/>
        </w:rPr>
      </w:pPr>
    </w:p>
    <w:p w14:paraId="714EE58E">
      <w:pPr>
        <w:ind w:firstLine="480" w:firstLineChars="200"/>
        <w:rPr>
          <w:sz w:val="24"/>
          <w:szCs w:val="24"/>
        </w:rPr>
      </w:pPr>
      <w:r>
        <w:t>从最终特征构成看，25 维输入特征覆盖了振动强度、转频及倍频响应、频带能量分布、非平稳小波包能量和包络谱低频调制信息。其中，小波包最终保留第 0、1、2、3、5、6、7 节点能量占比，未同时保留绝对能量；包络谱最终保留包络峭度、包络峰值因子、包络谱主频幅值、包络谱 0-100 Hz 能量占比、包络谱 1000-3000 Hz 能量占比和包络谱 1X 邻域能量。该特征体系与第 2 章故障机理分析保持一致。</w:t>
      </w:r>
    </w:p>
    <w:p w14:paraId="53DBF587">
      <w:pPr>
        <w:pStyle w:val="4"/>
      </w:pPr>
      <w:r>
        <w:rPr>
          <w:rFonts w:ascii="宋体" w:hAnsi="宋体" w:eastAsia="宋体"/>
          <w:sz w:val="22"/>
        </w:rPr>
        <w:t>4.5 模型训练与参数设置</w:t>
      </w:r>
    </w:p>
    <w:p w14:paraId="77E6A643">
      <w:pPr>
        <w:ind w:firstLine="480" w:firstLineChars="200"/>
        <w:rPr>
          <w:sz w:val="24"/>
          <w:szCs w:val="24"/>
        </w:rPr>
      </w:pPr>
      <w:r>
        <w:rPr>
          <w:rFonts w:ascii="宋体" w:hAnsi="宋体" w:eastAsia="宋体"/>
          <w:sz w:val="24"/>
          <w:szCs w:val="24"/>
        </w:rPr>
        <w:t>为了比较不同机器学习方法在当前特征体系下的诊断效果，本文分别训练 BP 神经网络、SVM 和随机森林模型。三类模型均使用相同的关键特征输入和相同的标签体系，评价指标保持一致。考虑到 SVM 在大样本条件下训练计算量较大，本文对 SVM 采用分层抽样训练；BP 神经网络和随机森林使用全量训练集训练。</w:t>
      </w:r>
    </w:p>
    <w:p w14:paraId="1CF182BF">
      <w:pPr>
        <w:jc w:val="center"/>
        <w:rPr>
          <w:sz w:val="24"/>
          <w:szCs w:val="24"/>
        </w:rPr>
      </w:pPr>
      <w:r>
        <w:rPr>
          <w:rFonts w:ascii="宋体" w:hAnsi="宋体" w:eastAsia="宋体"/>
          <w:b/>
          <w:sz w:val="24"/>
          <w:szCs w:val="24"/>
        </w:rPr>
        <w:t>表 4-5 模型参数与训练设置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9"/>
        <w:gridCol w:w="3749"/>
        <w:gridCol w:w="2754"/>
      </w:tblGrid>
      <w:tr w14:paraId="3B60BFD4">
        <w:tc>
          <w:tcPr>
            <w:tcW w:w="3009" w:type="dxa"/>
          </w:tcPr>
          <w:p w14:paraId="53AD74CA">
            <w:r>
              <w:rPr>
                <w:b/>
              </w:rPr>
              <w:t>模型</w:t>
            </w:r>
          </w:p>
        </w:tc>
        <w:tc>
          <w:tcPr>
            <w:tcW w:w="3009" w:type="dxa"/>
          </w:tcPr>
          <w:p w14:paraId="073DC7B4">
            <w:r>
              <w:rPr>
                <w:b/>
              </w:rPr>
              <w:t>主要参数</w:t>
            </w:r>
          </w:p>
        </w:tc>
        <w:tc>
          <w:tcPr>
            <w:tcW w:w="3009" w:type="dxa"/>
          </w:tcPr>
          <w:p w14:paraId="5E7BF059">
            <w:r>
              <w:rPr>
                <w:b/>
              </w:rPr>
              <w:t>训练说明</w:t>
            </w:r>
          </w:p>
        </w:tc>
      </w:tr>
      <w:tr w14:paraId="0B138C2C">
        <w:tc>
          <w:tcPr>
            <w:tcW w:w="3009" w:type="dxa"/>
          </w:tcPr>
          <w:p w14:paraId="29DD7355">
            <w:r>
              <w:t>随机森林</w:t>
            </w:r>
          </w:p>
        </w:tc>
        <w:tc>
          <w:tcPr>
            <w:tcW w:w="3009" w:type="dxa"/>
          </w:tcPr>
          <w:p w14:paraId="7E124448">
            <w:r>
              <w:t>n_estimators=300，max_depth=None，min_samples_split=2，min_samples_leaf=1，max_features=sqrt，bootstrap=True，class_weight=balanced_subsample，random_state=42</w:t>
            </w:r>
          </w:p>
        </w:tc>
        <w:tc>
          <w:tcPr>
            <w:tcW w:w="3009" w:type="dxa"/>
          </w:tcPr>
          <w:p w14:paraId="29E18BF7">
            <w:r>
              <w:t>使用全量训练集，输出基于节点不纯度下降的特征重要性</w:t>
            </w:r>
          </w:p>
        </w:tc>
      </w:tr>
      <w:tr w14:paraId="307A0EB0">
        <w:tc>
          <w:tcPr>
            <w:tcW w:w="3009" w:type="dxa"/>
          </w:tcPr>
          <w:p w14:paraId="6DB90281">
            <w:r>
              <w:t>BP 神经网络</w:t>
            </w:r>
          </w:p>
        </w:tc>
        <w:tc>
          <w:tcPr>
            <w:tcW w:w="3009" w:type="dxa"/>
          </w:tcPr>
          <w:p w14:paraId="7CC01A5D">
            <w:r>
              <w:t>隐藏层 64、32，ReLU，Adam，alpha=0.0001，batch_size=auto，learning_rate_init=0.001，max_iter=300，early_stopping=True，validation_fraction=0.1，n_iter_no_change=10，random_state=42；实际迭代 38 轮</w:t>
            </w:r>
          </w:p>
        </w:tc>
        <w:tc>
          <w:tcPr>
            <w:tcW w:w="3009" w:type="dxa"/>
          </w:tcPr>
          <w:p w14:paraId="0D67DA52">
            <w:r>
              <w:t>使用全量训练集，训练集 Z-score 标准化</w:t>
            </w:r>
          </w:p>
        </w:tc>
      </w:tr>
      <w:tr w14:paraId="3D46F50C">
        <w:tc>
          <w:tcPr>
            <w:tcW w:w="3009" w:type="dxa"/>
          </w:tcPr>
          <w:p w14:paraId="56D27892">
            <w:r>
              <w:t>SVM</w:t>
            </w:r>
          </w:p>
        </w:tc>
        <w:tc>
          <w:tcPr>
            <w:tcW w:w="3009" w:type="dxa"/>
          </w:tcPr>
          <w:p w14:paraId="4BF84258">
            <w:r>
              <w:t>RBF 核，C=10，gamma=scale，class_weight=balanced，tol=0.001，probability=False</w:t>
            </w:r>
          </w:p>
        </w:tc>
        <w:tc>
          <w:tcPr>
            <w:tcW w:w="3009" w:type="dxa"/>
          </w:tcPr>
          <w:p w14:paraId="340C8034">
            <w:r>
              <w:t>分层抽样 16000 条（random_state=42），使用训练集 Z-score 参数标准化</w:t>
            </w:r>
          </w:p>
        </w:tc>
      </w:tr>
    </w:tbl>
    <w:p w14:paraId="2F58D842">
      <w:pPr>
        <w:ind w:firstLine="480" w:firstLineChars="200"/>
        <w:rPr>
          <w:rFonts w:ascii="宋体" w:hAnsi="宋体" w:eastAsia="宋体"/>
          <w:sz w:val="24"/>
          <w:szCs w:val="24"/>
        </w:rPr>
      </w:pPr>
    </w:p>
    <w:p w14:paraId="3F4EE18B">
      <w:pPr>
        <w:ind w:firstLine="480" w:firstLineChars="200"/>
        <w:rPr>
          <w:sz w:val="24"/>
          <w:szCs w:val="24"/>
        </w:rPr>
      </w:pPr>
      <w:r>
        <w:rPr>
          <w:rFonts w:ascii="宋体" w:hAnsi="宋体" w:eastAsia="宋体"/>
          <w:sz w:val="24"/>
          <w:szCs w:val="24"/>
        </w:rPr>
        <w:t>为保证实验过程具有可复现性，本文对模型训练环境和主要工具库进行说明。实验主要在 Python 环境下完成，信号处理、特征提取、模型训练和指标计算均由统一脚本执行。训练环境见表 4-5。</w:t>
      </w:r>
    </w:p>
    <w:p w14:paraId="538344E8">
      <w:pPr>
        <w:jc w:val="center"/>
        <w:rPr>
          <w:sz w:val="24"/>
          <w:szCs w:val="24"/>
        </w:rPr>
      </w:pPr>
      <w:r>
        <w:rPr>
          <w:rFonts w:ascii="宋体" w:hAnsi="宋体" w:eastAsia="宋体"/>
          <w:b/>
          <w:sz w:val="24"/>
          <w:szCs w:val="24"/>
        </w:rPr>
        <w:t>表 4-6 实验训练环境与主要工具库</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173401CF">
        <w:tc>
          <w:tcPr>
            <w:tcW w:w="4513" w:type="dxa"/>
            <w:vAlign w:val="center"/>
          </w:tcPr>
          <w:p w14:paraId="1C63A3E8">
            <w:pPr>
              <w:spacing w:before="0" w:after="0" w:line="240" w:lineRule="auto"/>
              <w:jc w:val="center"/>
            </w:pPr>
            <w:r>
              <w:rPr>
                <w:b/>
                <w:sz w:val="21"/>
              </w:rPr>
              <w:t>项目</w:t>
            </w:r>
          </w:p>
        </w:tc>
        <w:tc>
          <w:tcPr>
            <w:tcW w:w="4513" w:type="dxa"/>
            <w:vAlign w:val="center"/>
          </w:tcPr>
          <w:p w14:paraId="2570664F">
            <w:pPr>
              <w:spacing w:before="0" w:after="0" w:line="240" w:lineRule="auto"/>
              <w:jc w:val="center"/>
            </w:pPr>
            <w:r>
              <w:rPr>
                <w:b/>
                <w:sz w:val="21"/>
              </w:rPr>
              <w:t>配置或工具</w:t>
            </w:r>
          </w:p>
        </w:tc>
      </w:tr>
      <w:tr w14:paraId="7B23CFEB">
        <w:tc>
          <w:tcPr>
            <w:tcW w:w="4513" w:type="dxa"/>
            <w:vAlign w:val="center"/>
          </w:tcPr>
          <w:p w14:paraId="71FFB9A4">
            <w:pPr>
              <w:spacing w:before="0" w:after="0" w:line="240" w:lineRule="auto"/>
            </w:pPr>
            <w:r>
              <w:rPr>
                <w:sz w:val="21"/>
              </w:rPr>
              <w:t>编程语言</w:t>
            </w:r>
          </w:p>
        </w:tc>
        <w:tc>
          <w:tcPr>
            <w:tcW w:w="4513" w:type="dxa"/>
            <w:vAlign w:val="center"/>
          </w:tcPr>
          <w:p w14:paraId="7F73F87A">
            <w:pPr>
              <w:spacing w:before="0" w:after="0" w:line="240" w:lineRule="auto"/>
            </w:pPr>
            <w:r>
              <w:rPr>
                <w:sz w:val="21"/>
              </w:rPr>
              <w:t>Python 3.12.13</w:t>
            </w:r>
          </w:p>
        </w:tc>
      </w:tr>
      <w:tr w14:paraId="109DB398">
        <w:tc>
          <w:tcPr>
            <w:tcW w:w="4513" w:type="dxa"/>
            <w:vAlign w:val="center"/>
          </w:tcPr>
          <w:p w14:paraId="59194225">
            <w:pPr>
              <w:spacing w:before="0" w:after="0" w:line="240" w:lineRule="auto"/>
            </w:pPr>
            <w:r>
              <w:rPr>
                <w:sz w:val="21"/>
              </w:rPr>
              <w:t>信号处理</w:t>
            </w:r>
          </w:p>
        </w:tc>
        <w:tc>
          <w:tcPr>
            <w:tcW w:w="4513" w:type="dxa"/>
            <w:vAlign w:val="center"/>
          </w:tcPr>
          <w:p w14:paraId="1B8F898A">
            <w:pPr>
              <w:spacing w:before="0" w:after="0" w:line="240" w:lineRule="auto"/>
            </w:pPr>
            <w:r>
              <w:rPr>
                <w:sz w:val="21"/>
              </w:rPr>
              <w:t>NumPy 2.3.5，SciPy 1.17.1</w:t>
            </w:r>
          </w:p>
        </w:tc>
      </w:tr>
      <w:tr w14:paraId="6AB72B34">
        <w:tc>
          <w:tcPr>
            <w:tcW w:w="4513" w:type="dxa"/>
            <w:vAlign w:val="center"/>
          </w:tcPr>
          <w:p w14:paraId="0CA49690">
            <w:pPr>
              <w:spacing w:before="0" w:after="0" w:line="240" w:lineRule="auto"/>
            </w:pPr>
            <w:r>
              <w:rPr>
                <w:sz w:val="21"/>
              </w:rPr>
              <w:t>数据处理</w:t>
            </w:r>
          </w:p>
        </w:tc>
        <w:tc>
          <w:tcPr>
            <w:tcW w:w="4513" w:type="dxa"/>
            <w:vAlign w:val="center"/>
          </w:tcPr>
          <w:p w14:paraId="610809F0">
            <w:pPr>
              <w:spacing w:before="0" w:after="0" w:line="240" w:lineRule="auto"/>
            </w:pPr>
            <w:r>
              <w:rPr>
                <w:sz w:val="21"/>
              </w:rPr>
              <w:t>pandas 2.2.3</w:t>
            </w:r>
          </w:p>
        </w:tc>
      </w:tr>
      <w:tr w14:paraId="3C19EEDF">
        <w:tc>
          <w:tcPr>
            <w:tcW w:w="4513" w:type="dxa"/>
            <w:vAlign w:val="center"/>
          </w:tcPr>
          <w:p w14:paraId="53F6389E">
            <w:pPr>
              <w:spacing w:before="0" w:after="0" w:line="240" w:lineRule="auto"/>
            </w:pPr>
            <w:r>
              <w:rPr>
                <w:sz w:val="21"/>
              </w:rPr>
              <w:t>机器学习</w:t>
            </w:r>
          </w:p>
        </w:tc>
        <w:tc>
          <w:tcPr>
            <w:tcW w:w="4513" w:type="dxa"/>
            <w:vAlign w:val="center"/>
          </w:tcPr>
          <w:p w14:paraId="61300E9A">
            <w:pPr>
              <w:spacing w:before="0" w:after="0" w:line="240" w:lineRule="auto"/>
            </w:pPr>
            <w:r>
              <w:rPr>
                <w:sz w:val="21"/>
              </w:rPr>
              <w:t>scikit-learn 1.9.0，joblib 1.5.3</w:t>
            </w:r>
          </w:p>
        </w:tc>
      </w:tr>
      <w:tr w14:paraId="3EB601C8">
        <w:tc>
          <w:tcPr>
            <w:tcW w:w="4513" w:type="dxa"/>
            <w:vAlign w:val="center"/>
          </w:tcPr>
          <w:p w14:paraId="57515F60">
            <w:pPr>
              <w:spacing w:before="0" w:after="0" w:line="240" w:lineRule="auto"/>
            </w:pPr>
            <w:r>
              <w:rPr>
                <w:sz w:val="21"/>
              </w:rPr>
              <w:t>绘图与图像输出</w:t>
            </w:r>
          </w:p>
        </w:tc>
        <w:tc>
          <w:tcPr>
            <w:tcW w:w="4513" w:type="dxa"/>
            <w:vAlign w:val="center"/>
          </w:tcPr>
          <w:p w14:paraId="60CA2B10">
            <w:pPr>
              <w:spacing w:before="0" w:after="0" w:line="240" w:lineRule="auto"/>
            </w:pPr>
            <w:r>
              <w:rPr>
                <w:sz w:val="21"/>
              </w:rPr>
              <w:t>Pillow 12.2.0</w:t>
            </w:r>
          </w:p>
        </w:tc>
      </w:tr>
      <w:tr w14:paraId="61B55B94">
        <w:tc>
          <w:tcPr>
            <w:tcW w:w="4513" w:type="dxa"/>
            <w:vAlign w:val="center"/>
          </w:tcPr>
          <w:p w14:paraId="2A36812B">
            <w:pPr>
              <w:spacing w:before="0" w:after="0" w:line="240" w:lineRule="auto"/>
            </w:pPr>
            <w:r>
              <w:rPr>
                <w:sz w:val="21"/>
              </w:rPr>
              <w:t>运行系统</w:t>
            </w:r>
          </w:p>
        </w:tc>
        <w:tc>
          <w:tcPr>
            <w:tcW w:w="4513" w:type="dxa"/>
            <w:vAlign w:val="center"/>
          </w:tcPr>
          <w:p w14:paraId="26E3C27E">
            <w:pPr>
              <w:spacing w:before="0" w:after="0" w:line="240" w:lineRule="auto"/>
            </w:pPr>
            <w:r>
              <w:rPr>
                <w:sz w:val="21"/>
              </w:rPr>
              <w:t>macOS 26.4（Build 25E246）；arm64</w:t>
            </w:r>
          </w:p>
        </w:tc>
      </w:tr>
      <w:tr w14:paraId="48D422ED">
        <w:tc>
          <w:tcPr>
            <w:tcW w:w="4513" w:type="dxa"/>
            <w:vAlign w:val="center"/>
          </w:tcPr>
          <w:p w14:paraId="51C9B75E">
            <w:pPr>
              <w:spacing w:before="0" w:after="0" w:line="240" w:lineRule="auto"/>
            </w:pPr>
            <w:r>
              <w:rPr>
                <w:sz w:val="21"/>
              </w:rPr>
              <w:t>硬件环境</w:t>
            </w:r>
          </w:p>
        </w:tc>
        <w:tc>
          <w:tcPr>
            <w:tcW w:w="4513" w:type="dxa"/>
            <w:vAlign w:val="center"/>
          </w:tcPr>
          <w:p w14:paraId="2157BF5E">
            <w:pPr>
              <w:spacing w:before="0" w:after="0" w:line="240" w:lineRule="auto"/>
            </w:pPr>
            <w:r>
              <w:rPr>
                <w:sz w:val="21"/>
              </w:rPr>
              <w:t>MacBook Air；Apple M5；10 核 CPU；16 GB 内存</w:t>
            </w:r>
          </w:p>
        </w:tc>
      </w:tr>
      <w:tr w14:paraId="62B8B358">
        <w:tc>
          <w:tcPr>
            <w:tcW w:w="4513" w:type="dxa"/>
            <w:vAlign w:val="center"/>
          </w:tcPr>
          <w:p w14:paraId="14D02734">
            <w:pPr>
              <w:spacing w:before="0" w:after="0" w:line="240" w:lineRule="auto"/>
            </w:pPr>
            <w:r>
              <w:rPr>
                <w:sz w:val="21"/>
              </w:rPr>
              <w:t>随机种子</w:t>
            </w:r>
          </w:p>
        </w:tc>
        <w:tc>
          <w:tcPr>
            <w:tcW w:w="4513" w:type="dxa"/>
            <w:vAlign w:val="center"/>
          </w:tcPr>
          <w:p w14:paraId="6A593FD8">
            <w:pPr>
              <w:spacing w:before="0" w:after="0" w:line="240" w:lineRule="auto"/>
            </w:pPr>
            <w:r>
              <w:rPr>
                <w:sz w:val="21"/>
              </w:rPr>
              <w:t>random_state=42</w:t>
            </w:r>
          </w:p>
        </w:tc>
      </w:tr>
      <w:tr w14:paraId="62A85C8D">
        <w:tc>
          <w:tcPr>
            <w:tcW w:w="4513" w:type="dxa"/>
            <w:vAlign w:val="center"/>
          </w:tcPr>
          <w:p w14:paraId="2FC74597">
            <w:pPr>
              <w:spacing w:before="0" w:after="0" w:line="240" w:lineRule="auto"/>
            </w:pPr>
            <w:r>
              <w:rPr>
                <w:sz w:val="21"/>
              </w:rPr>
              <w:t>BP 神经网络参数</w:t>
            </w:r>
          </w:p>
        </w:tc>
        <w:tc>
          <w:tcPr>
            <w:tcW w:w="4513" w:type="dxa"/>
            <w:vAlign w:val="center"/>
          </w:tcPr>
          <w:p w14:paraId="0304A337">
            <w:pPr>
              <w:spacing w:before="0" w:after="0" w:line="240" w:lineRule="auto"/>
            </w:pPr>
            <w:r>
              <w:rPr>
                <w:sz w:val="21"/>
              </w:rPr>
              <w:t>MLPClassifier；64-32；ReLU；Adam；max_iter=300；early_stopping=True；validation_fraction=0.1；n_iter_no_change=10</w:t>
            </w:r>
          </w:p>
        </w:tc>
      </w:tr>
      <w:tr w14:paraId="70293177">
        <w:tc>
          <w:tcPr>
            <w:tcW w:w="4513" w:type="dxa"/>
            <w:vAlign w:val="center"/>
          </w:tcPr>
          <w:p w14:paraId="179AAB36">
            <w:pPr>
              <w:spacing w:before="0" w:after="0" w:line="240" w:lineRule="auto"/>
            </w:pPr>
            <w:r>
              <w:rPr>
                <w:sz w:val="21"/>
              </w:rPr>
              <w:t>评价指标</w:t>
            </w:r>
          </w:p>
        </w:tc>
        <w:tc>
          <w:tcPr>
            <w:tcW w:w="4513" w:type="dxa"/>
            <w:vAlign w:val="center"/>
          </w:tcPr>
          <w:p w14:paraId="52720694">
            <w:pPr>
              <w:spacing w:before="0" w:after="0" w:line="240" w:lineRule="auto"/>
            </w:pPr>
            <w:r>
              <w:rPr>
                <w:sz w:val="21"/>
              </w:rPr>
              <w:t>准确率、平衡准确率、宏平均 F1、加权 F1、混淆矩阵</w:t>
            </w:r>
          </w:p>
        </w:tc>
      </w:tr>
    </w:tbl>
    <w:p w14:paraId="296ABFEF">
      <w:pPr>
        <w:rPr>
          <w:sz w:val="24"/>
          <w:szCs w:val="24"/>
        </w:rPr>
      </w:pPr>
    </w:p>
    <w:p w14:paraId="1D93FAE6">
      <w:pPr>
        <w:ind w:firstLine="480" w:firstLineChars="200"/>
        <w:rPr>
          <w:sz w:val="24"/>
          <w:szCs w:val="24"/>
        </w:rPr>
      </w:pPr>
      <w:r>
        <w:t>随机森林通过类别平衡采样降低样本不均衡影响，并可输出特征重要性；BP 神经网络通过 early stopping 控制过拟合，本次训练实际迭代 38 轮；SVM 通过 RBF 核处理非线性边界，并采用类别平衡参数提高少数类识别能力。上述设置兼顾了分类性能、计算成本和论文解释需求。</w:t>
      </w:r>
    </w:p>
    <w:p w14:paraId="672DD2AC">
      <w:pPr>
        <w:pStyle w:val="4"/>
      </w:pPr>
      <w:r>
        <w:rPr>
          <w:rFonts w:ascii="宋体" w:hAnsi="宋体" w:eastAsia="宋体"/>
          <w:sz w:val="22"/>
        </w:rPr>
        <w:t>4.6 不同模型诊断结果对比</w:t>
      </w:r>
    </w:p>
    <w:p w14:paraId="51A31405">
      <w:pPr>
        <w:ind w:firstLine="480" w:firstLineChars="200"/>
        <w:rPr>
          <w:sz w:val="24"/>
          <w:szCs w:val="24"/>
        </w:rPr>
      </w:pPr>
      <w:r>
        <w:t>表 4-7 给出了三类模型在测试集上的诊断结果。评价指标包括准确率、平衡准确率、宏平均 F1、加权 F1 和训练样本数。其中，平衡准确率为各类别召回率的平均值，适合观察类别不均衡条件下的整体召回能力；宏平均 F1 对各类别赋予相同权重，能够更好反映多类别故障诊断的均衡性能；加权 F1 则按样本数量加权，更接近总体样本分布下的综合表现。</w:t>
      </w:r>
    </w:p>
    <w:p w14:paraId="4520D6C0">
      <w:pPr>
        <w:jc w:val="center"/>
        <w:rPr>
          <w:sz w:val="24"/>
          <w:szCs w:val="24"/>
        </w:rPr>
      </w:pPr>
      <w:r>
        <w:rPr>
          <w:rFonts w:ascii="宋体" w:hAnsi="宋体" w:eastAsia="宋体"/>
          <w:b/>
          <w:sz w:val="24"/>
          <w:szCs w:val="24"/>
        </w:rPr>
        <w:t>表 4-7 不同模型测试集诊断结果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89"/>
        <w:gridCol w:w="1289"/>
        <w:gridCol w:w="1289"/>
        <w:gridCol w:w="1289"/>
        <w:gridCol w:w="1289"/>
        <w:gridCol w:w="1289"/>
      </w:tblGrid>
      <w:tr w14:paraId="32D7B2F2">
        <w:tc>
          <w:tcPr>
            <w:tcW w:w="1289" w:type="dxa"/>
          </w:tcPr>
          <w:p w14:paraId="3C2BF48F">
            <w:pPr>
              <w:jc w:val="center"/>
            </w:pPr>
            <w:r>
              <w:rPr>
                <w:b/>
              </w:rPr>
              <w:t>模型</w:t>
            </w:r>
          </w:p>
        </w:tc>
        <w:tc>
          <w:tcPr>
            <w:tcW w:w="1289" w:type="dxa"/>
          </w:tcPr>
          <w:p w14:paraId="2D540DA1">
            <w:pPr>
              <w:jc w:val="center"/>
            </w:pPr>
            <w:r>
              <w:rPr>
                <w:b/>
              </w:rPr>
              <w:t>准确率</w:t>
            </w:r>
          </w:p>
        </w:tc>
        <w:tc>
          <w:tcPr>
            <w:tcW w:w="1289" w:type="dxa"/>
          </w:tcPr>
          <w:p w14:paraId="4CE06BF4">
            <w:pPr>
              <w:jc w:val="center"/>
            </w:pPr>
            <w:r>
              <w:rPr>
                <w:b/>
              </w:rPr>
              <w:t>平衡准确率</w:t>
            </w:r>
          </w:p>
        </w:tc>
        <w:tc>
          <w:tcPr>
            <w:tcW w:w="1289" w:type="dxa"/>
          </w:tcPr>
          <w:p w14:paraId="1F91E1E2">
            <w:pPr>
              <w:jc w:val="center"/>
            </w:pPr>
            <w:r>
              <w:rPr>
                <w:b/>
              </w:rPr>
              <w:t>宏平均 F1</w:t>
            </w:r>
          </w:p>
        </w:tc>
        <w:tc>
          <w:tcPr>
            <w:tcW w:w="1289" w:type="dxa"/>
          </w:tcPr>
          <w:p w14:paraId="221A73F2">
            <w:pPr>
              <w:jc w:val="center"/>
            </w:pPr>
            <w:r>
              <w:rPr>
                <w:b/>
              </w:rPr>
              <w:t>加权 F1</w:t>
            </w:r>
          </w:p>
        </w:tc>
        <w:tc>
          <w:tcPr>
            <w:tcW w:w="1289" w:type="dxa"/>
          </w:tcPr>
          <w:p w14:paraId="765D55C7">
            <w:pPr>
              <w:jc w:val="center"/>
            </w:pPr>
            <w:r>
              <w:rPr>
                <w:b/>
              </w:rPr>
              <w:t>训练样本数</w:t>
            </w:r>
          </w:p>
        </w:tc>
        <w:tc>
          <w:tcPr>
            <w:tcW w:w="1289" w:type="dxa"/>
          </w:tcPr>
          <w:p w14:paraId="17CEEBA0">
            <w:pPr>
              <w:jc w:val="center"/>
            </w:pPr>
            <w:r>
              <w:rPr>
                <w:b/>
              </w:rPr>
              <w:t>训练说明</w:t>
            </w:r>
          </w:p>
        </w:tc>
      </w:tr>
      <w:tr w14:paraId="2FD311FF">
        <w:tc>
          <w:tcPr>
            <w:tcW w:w="1289" w:type="dxa"/>
          </w:tcPr>
          <w:p w14:paraId="2210AD8C">
            <w:r>
              <w:t>随机森林</w:t>
            </w:r>
          </w:p>
        </w:tc>
        <w:tc>
          <w:tcPr>
            <w:tcW w:w="1289" w:type="dxa"/>
          </w:tcPr>
          <w:p w14:paraId="06D87CF7">
            <w:r>
              <w:t>0.9585</w:t>
            </w:r>
          </w:p>
        </w:tc>
        <w:tc>
          <w:tcPr>
            <w:tcW w:w="1289" w:type="dxa"/>
          </w:tcPr>
          <w:p w14:paraId="7AA9B561">
            <w:r>
              <w:t>0.9527</w:t>
            </w:r>
          </w:p>
        </w:tc>
        <w:tc>
          <w:tcPr>
            <w:tcW w:w="1289" w:type="dxa"/>
          </w:tcPr>
          <w:p w14:paraId="37D54472">
            <w:r>
              <w:t>0.9571</w:t>
            </w:r>
          </w:p>
        </w:tc>
        <w:tc>
          <w:tcPr>
            <w:tcW w:w="1289" w:type="dxa"/>
          </w:tcPr>
          <w:p w14:paraId="1C082D5E">
            <w:r>
              <w:t>0.9581</w:t>
            </w:r>
          </w:p>
        </w:tc>
        <w:tc>
          <w:tcPr>
            <w:tcW w:w="1289" w:type="dxa"/>
          </w:tcPr>
          <w:p w14:paraId="469B2C8A">
            <w:r>
              <w:t>171216</w:t>
            </w:r>
          </w:p>
        </w:tc>
        <w:tc>
          <w:tcPr>
            <w:tcW w:w="1289" w:type="dxa"/>
          </w:tcPr>
          <w:p w14:paraId="1D612F9D">
            <w:r>
              <w:t>使用全量训练集，输出特征重要性</w:t>
            </w:r>
          </w:p>
        </w:tc>
      </w:tr>
      <w:tr w14:paraId="56DB4A18">
        <w:tc>
          <w:tcPr>
            <w:tcW w:w="1289" w:type="dxa"/>
          </w:tcPr>
          <w:p w14:paraId="2F2E8075">
            <w:r>
              <w:t>BP神经网络</w:t>
            </w:r>
          </w:p>
        </w:tc>
        <w:tc>
          <w:tcPr>
            <w:tcW w:w="1289" w:type="dxa"/>
          </w:tcPr>
          <w:p w14:paraId="1DFD378A">
            <w:r>
              <w:t>0.9573</w:t>
            </w:r>
          </w:p>
        </w:tc>
        <w:tc>
          <w:tcPr>
            <w:tcW w:w="1289" w:type="dxa"/>
          </w:tcPr>
          <w:p w14:paraId="3F352ED0">
            <w:r>
              <w:t>0.9586</w:t>
            </w:r>
          </w:p>
        </w:tc>
        <w:tc>
          <w:tcPr>
            <w:tcW w:w="1289" w:type="dxa"/>
          </w:tcPr>
          <w:p w14:paraId="7FB76184">
            <w:r>
              <w:t>0.9579</w:t>
            </w:r>
          </w:p>
        </w:tc>
        <w:tc>
          <w:tcPr>
            <w:tcW w:w="1289" w:type="dxa"/>
          </w:tcPr>
          <w:p w14:paraId="70092B91">
            <w:r>
              <w:t>0.9573</w:t>
            </w:r>
          </w:p>
        </w:tc>
        <w:tc>
          <w:tcPr>
            <w:tcW w:w="1289" w:type="dxa"/>
          </w:tcPr>
          <w:p w14:paraId="4E4F6FAF">
            <w:r>
              <w:t>171216</w:t>
            </w:r>
          </w:p>
        </w:tc>
        <w:tc>
          <w:tcPr>
            <w:tcW w:w="1289" w:type="dxa"/>
          </w:tcPr>
          <w:p w14:paraId="72D74839">
            <w:r>
              <w:t>使用全量训练集</w:t>
            </w:r>
          </w:p>
        </w:tc>
      </w:tr>
      <w:tr w14:paraId="57F767AD">
        <w:tc>
          <w:tcPr>
            <w:tcW w:w="1289" w:type="dxa"/>
          </w:tcPr>
          <w:p w14:paraId="295BF119">
            <w:r>
              <w:t>SVM</w:t>
            </w:r>
          </w:p>
        </w:tc>
        <w:tc>
          <w:tcPr>
            <w:tcW w:w="1289" w:type="dxa"/>
          </w:tcPr>
          <w:p w14:paraId="115A74FF">
            <w:r>
              <w:t>0.9013</w:t>
            </w:r>
          </w:p>
        </w:tc>
        <w:tc>
          <w:tcPr>
            <w:tcW w:w="1289" w:type="dxa"/>
          </w:tcPr>
          <w:p w14:paraId="6B92833C">
            <w:r>
              <w:t>0.9362</w:t>
            </w:r>
          </w:p>
        </w:tc>
        <w:tc>
          <w:tcPr>
            <w:tcW w:w="1289" w:type="dxa"/>
          </w:tcPr>
          <w:p w14:paraId="4C5A28C8">
            <w:r>
              <w:t>0.9100</w:t>
            </w:r>
          </w:p>
        </w:tc>
        <w:tc>
          <w:tcPr>
            <w:tcW w:w="1289" w:type="dxa"/>
          </w:tcPr>
          <w:p w14:paraId="4DBE6FCD">
            <w:r>
              <w:t>0.9032</w:t>
            </w:r>
          </w:p>
        </w:tc>
        <w:tc>
          <w:tcPr>
            <w:tcW w:w="1289" w:type="dxa"/>
          </w:tcPr>
          <w:p w14:paraId="45CBA54F">
            <w:r>
              <w:t>16000</w:t>
            </w:r>
          </w:p>
        </w:tc>
        <w:tc>
          <w:tcPr>
            <w:tcW w:w="1289" w:type="dxa"/>
          </w:tcPr>
          <w:p w14:paraId="1DA5926B">
            <w:r>
              <w:t>分层抽样 16000 条训练，降低计算量</w:t>
            </w:r>
          </w:p>
        </w:tc>
      </w:tr>
    </w:tbl>
    <w:p w14:paraId="70642070">
      <w:pPr>
        <w:jc w:val="center"/>
      </w:pPr>
      <w:r>
        <w:rPr>
          <w:b/>
        </w:rPr>
        <w:t>图 4-6 不同模型诊断指标对比</w:t>
      </w:r>
    </w:p>
    <w:p w14:paraId="1C3E2952">
      <w:pPr>
        <w:jc w:val="center"/>
      </w:pPr>
      <w:r>
        <w:drawing>
          <wp:inline distT="0" distB="0" distL="114300" distR="114300">
            <wp:extent cx="5394960" cy="3112135"/>
            <wp:effectExtent l="0" t="0" r="1524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394960" cy="3112477"/>
                    </a:xfrm>
                    <a:prstGeom prst="rect">
                      <a:avLst/>
                    </a:prstGeom>
                  </pic:spPr>
                </pic:pic>
              </a:graphicData>
            </a:graphic>
          </wp:inline>
        </w:drawing>
      </w:r>
    </w:p>
    <w:p w14:paraId="4CF6F1F5">
      <w:pPr>
        <w:ind w:firstLine="480" w:firstLineChars="200"/>
      </w:pPr>
      <w:r>
        <w:t>图 4-6 直观对比了随机森林、BP 神经网络和 SVM 的准确率、平衡准确率、宏平均 F1 与加权 F1。随机森林和 BP 神经网络整体指标接近，SVM 在当前分层抽样训练设置下相对较低。</w:t>
      </w:r>
    </w:p>
    <w:p w14:paraId="2A2C5373">
      <w:pPr>
        <w:ind w:firstLine="480" w:firstLineChars="200"/>
        <w:rPr>
          <w:sz w:val="24"/>
          <w:szCs w:val="24"/>
        </w:rPr>
      </w:pPr>
      <w:r>
        <w:t>由实验结果可知，随机森林准确率为 0.9585，平衡准确率为 0.9527，宏平均 F1 为 0.9571；BP 神经网络准确率为 0.9573，平衡准确率为 0.9586，宏平均 F1 为 0.9579，两者整体表现接近，说明所构建的多维振动特征能够较好区分六类故障状态。SVM 准确率为 0.9013，平衡准确率为 0.9362，宏平均 F1 为 0.9100，低于随机森林和 BP 神经网络。</w:t>
      </w:r>
    </w:p>
    <w:p w14:paraId="363CB167">
      <w:pPr>
        <w:ind w:firstLine="480" w:firstLineChars="200"/>
      </w:pPr>
      <w:r>
        <w:t>由于 SVM 受核矩阵计算量限制，仅使用 16000 条分层抽样训练样本，因此其结果主要反映本文计算资源和训练设置下的性能，不构成与全量训练随机森林、BP 神经网络的严格等样本比较。</w:t>
      </w:r>
    </w:p>
    <w:p w14:paraId="49BA1432">
      <w:pPr>
        <w:ind w:firstLine="480" w:firstLineChars="200"/>
        <w:rPr>
          <w:sz w:val="24"/>
          <w:szCs w:val="24"/>
        </w:rPr>
      </w:pPr>
      <w:r>
        <w:t>综合来看，随机森林总体准确率略高，BP 神经网络在平衡准确率和宏平均 F1 方面略占优势。考虑到随机森林无需特征标准化、训练过程较稳定且可输出特征重要性，本文最终选择其作为后续诊断系统的主要模型。BP 神经网络可作为继承前期研究方法的对比模型，证明神经网络在多维特征输入下也能取得较好识别效果。SVM 作为传统核函数机器学习对比模型，仍具有一定非线性分类能力，但在当前样本规模和抽样设置下综合性能低于随机森林和 BP 神经网络。</w:t>
      </w:r>
    </w:p>
    <w:p w14:paraId="1FD8D5CA">
      <w:pPr>
        <w:pStyle w:val="4"/>
      </w:pPr>
      <w:r>
        <w:rPr>
          <w:rFonts w:ascii="宋体" w:hAnsi="宋体" w:eastAsia="宋体"/>
          <w:sz w:val="22"/>
        </w:rPr>
        <w:t>4.7 混淆矩阵与误判原因分析</w:t>
      </w:r>
    </w:p>
    <w:p w14:paraId="2A3A95CB">
      <w:pPr>
        <w:ind w:firstLine="480" w:firstLineChars="200"/>
        <w:rPr>
          <w:sz w:val="24"/>
          <w:szCs w:val="24"/>
        </w:rPr>
      </w:pPr>
      <w:r>
        <w:t>仅依靠总体准确率无法判断模型在哪些故障类别上表现较好、哪些类别容易混淆。为进一步分析随机森林模型的识别细节，本文给出随机森林在测试集上的混淆矩阵，见表 4-8 和图 4-7。表中每一行表示真实类别，每一列表示预测类别，对角线元素越大说明对应类别识别越准确。</w:t>
      </w:r>
    </w:p>
    <w:p w14:paraId="174ABDA7">
      <w:pPr>
        <w:jc w:val="center"/>
        <w:rPr>
          <w:sz w:val="24"/>
          <w:szCs w:val="24"/>
        </w:rPr>
      </w:pPr>
      <w:r>
        <w:rPr>
          <w:rFonts w:ascii="宋体" w:hAnsi="宋体" w:eastAsia="宋体"/>
          <w:b/>
          <w:sz w:val="24"/>
          <w:szCs w:val="24"/>
        </w:rPr>
        <w:t>表 4-8 随机森林模型混淆矩阵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gridCol w:w="1304"/>
        <w:gridCol w:w="1304"/>
      </w:tblGrid>
      <w:tr w14:paraId="706F53D5">
        <w:trPr>
          <w:jc w:val="center"/>
        </w:trPr>
        <w:tc>
          <w:tcPr>
            <w:tcW w:w="1304" w:type="dxa"/>
            <w:shd w:val="clear" w:color="auto" w:fill="E8EEF5"/>
            <w:tcMar>
              <w:top w:w="100" w:type="dxa"/>
              <w:left w:w="100" w:type="dxa"/>
              <w:bottom w:w="100" w:type="dxa"/>
              <w:right w:w="100" w:type="dxa"/>
            </w:tcMar>
            <w:vAlign w:val="center"/>
          </w:tcPr>
          <w:p w14:paraId="783FF1FC">
            <w:pPr>
              <w:jc w:val="center"/>
            </w:pPr>
            <w:r>
              <w:rPr>
                <w:rFonts w:ascii="宋体" w:hAnsi="宋体" w:eastAsia="宋体"/>
                <w:b/>
                <w:sz w:val="21"/>
              </w:rPr>
              <w:t>真实类别</w:t>
            </w:r>
          </w:p>
        </w:tc>
        <w:tc>
          <w:tcPr>
            <w:tcW w:w="1304" w:type="dxa"/>
            <w:shd w:val="clear" w:color="auto" w:fill="E8EEF5"/>
            <w:tcMar>
              <w:top w:w="100" w:type="dxa"/>
              <w:left w:w="100" w:type="dxa"/>
              <w:bottom w:w="100" w:type="dxa"/>
              <w:right w:w="100" w:type="dxa"/>
            </w:tcMar>
            <w:vAlign w:val="center"/>
          </w:tcPr>
          <w:p w14:paraId="72318AC6">
            <w:pPr>
              <w:jc w:val="center"/>
            </w:pPr>
            <w:r>
              <w:rPr>
                <w:rFonts w:ascii="宋体" w:hAnsi="宋体" w:eastAsia="宋体"/>
                <w:b/>
                <w:sz w:val="21"/>
              </w:rPr>
              <w:t>预测松动</w:t>
            </w:r>
          </w:p>
        </w:tc>
        <w:tc>
          <w:tcPr>
            <w:tcW w:w="1304" w:type="dxa"/>
            <w:shd w:val="clear" w:color="auto" w:fill="E8EEF5"/>
            <w:tcMar>
              <w:top w:w="100" w:type="dxa"/>
              <w:left w:w="100" w:type="dxa"/>
              <w:bottom w:w="100" w:type="dxa"/>
              <w:right w:w="100" w:type="dxa"/>
            </w:tcMar>
            <w:vAlign w:val="center"/>
          </w:tcPr>
          <w:p w14:paraId="624C1F12">
            <w:pPr>
              <w:jc w:val="center"/>
            </w:pPr>
            <w:r>
              <w:rPr>
                <w:rFonts w:ascii="宋体" w:hAnsi="宋体" w:eastAsia="宋体"/>
                <w:b/>
                <w:sz w:val="21"/>
              </w:rPr>
              <w:t>预测正常</w:t>
            </w:r>
          </w:p>
        </w:tc>
        <w:tc>
          <w:tcPr>
            <w:tcW w:w="1304" w:type="dxa"/>
            <w:shd w:val="clear" w:color="auto" w:fill="E8EEF5"/>
            <w:tcMar>
              <w:top w:w="100" w:type="dxa"/>
              <w:left w:w="100" w:type="dxa"/>
              <w:bottom w:w="100" w:type="dxa"/>
              <w:right w:w="100" w:type="dxa"/>
            </w:tcMar>
            <w:vAlign w:val="center"/>
          </w:tcPr>
          <w:p w14:paraId="7DFC8052">
            <w:pPr>
              <w:jc w:val="center"/>
            </w:pPr>
            <w:r>
              <w:rPr>
                <w:rFonts w:ascii="宋体" w:hAnsi="宋体" w:eastAsia="宋体"/>
                <w:b/>
                <w:sz w:val="21"/>
              </w:rPr>
              <w:t>预测汽蚀</w:t>
            </w:r>
          </w:p>
        </w:tc>
        <w:tc>
          <w:tcPr>
            <w:tcW w:w="1304" w:type="dxa"/>
            <w:shd w:val="clear" w:color="auto" w:fill="E8EEF5"/>
            <w:tcMar>
              <w:top w:w="100" w:type="dxa"/>
              <w:left w:w="100" w:type="dxa"/>
              <w:bottom w:w="100" w:type="dxa"/>
              <w:right w:w="100" w:type="dxa"/>
            </w:tcMar>
            <w:vAlign w:val="center"/>
          </w:tcPr>
          <w:p w14:paraId="5B6A6CF7">
            <w:pPr>
              <w:jc w:val="center"/>
            </w:pPr>
            <w:r>
              <w:rPr>
                <w:rFonts w:ascii="宋体" w:hAnsi="宋体" w:eastAsia="宋体"/>
                <w:b/>
                <w:sz w:val="21"/>
              </w:rPr>
              <w:t>预测联轴器不对中</w:t>
            </w:r>
          </w:p>
        </w:tc>
        <w:tc>
          <w:tcPr>
            <w:tcW w:w="1304" w:type="dxa"/>
            <w:shd w:val="clear" w:color="auto" w:fill="E8EEF5"/>
            <w:tcMar>
              <w:top w:w="100" w:type="dxa"/>
              <w:left w:w="100" w:type="dxa"/>
              <w:bottom w:w="100" w:type="dxa"/>
              <w:right w:w="100" w:type="dxa"/>
            </w:tcMar>
            <w:vAlign w:val="center"/>
          </w:tcPr>
          <w:p w14:paraId="69940502">
            <w:pPr>
              <w:jc w:val="center"/>
            </w:pPr>
            <w:r>
              <w:rPr>
                <w:rFonts w:ascii="宋体" w:hAnsi="宋体" w:eastAsia="宋体"/>
                <w:b/>
                <w:sz w:val="21"/>
              </w:rPr>
              <w:t>预测转子不平衡</w:t>
            </w:r>
          </w:p>
        </w:tc>
        <w:tc>
          <w:tcPr>
            <w:tcW w:w="1304" w:type="dxa"/>
            <w:shd w:val="clear" w:color="auto" w:fill="E8EEF5"/>
            <w:tcMar>
              <w:top w:w="100" w:type="dxa"/>
              <w:left w:w="100" w:type="dxa"/>
              <w:bottom w:w="100" w:type="dxa"/>
              <w:right w:w="100" w:type="dxa"/>
            </w:tcMar>
            <w:vAlign w:val="center"/>
          </w:tcPr>
          <w:p w14:paraId="5950BFE7">
            <w:pPr>
              <w:jc w:val="center"/>
            </w:pPr>
            <w:r>
              <w:rPr>
                <w:rFonts w:ascii="宋体" w:hAnsi="宋体" w:eastAsia="宋体"/>
                <w:b/>
                <w:sz w:val="21"/>
              </w:rPr>
              <w:t>预测轴承故障</w:t>
            </w:r>
          </w:p>
        </w:tc>
      </w:tr>
      <w:tr w14:paraId="292D4A3D">
        <w:trPr>
          <w:jc w:val="center"/>
        </w:trPr>
        <w:tc>
          <w:tcPr>
            <w:tcW w:w="1304" w:type="dxa"/>
            <w:tcMar>
              <w:top w:w="100" w:type="dxa"/>
              <w:left w:w="100" w:type="dxa"/>
              <w:bottom w:w="100" w:type="dxa"/>
              <w:right w:w="100" w:type="dxa"/>
            </w:tcMar>
            <w:vAlign w:val="center"/>
          </w:tcPr>
          <w:p w14:paraId="0E8FBC10">
            <w:pPr>
              <w:jc w:val="center"/>
            </w:pPr>
            <w:r>
              <w:rPr>
                <w:rFonts w:ascii="宋体" w:hAnsi="宋体" w:eastAsia="宋体"/>
                <w:b w:val="0"/>
                <w:sz w:val="21"/>
              </w:rPr>
              <w:t>松动</w:t>
            </w:r>
          </w:p>
        </w:tc>
        <w:tc>
          <w:tcPr>
            <w:tcW w:w="1304" w:type="dxa"/>
            <w:tcMar>
              <w:top w:w="100" w:type="dxa"/>
              <w:left w:w="100" w:type="dxa"/>
              <w:bottom w:w="100" w:type="dxa"/>
              <w:right w:w="100" w:type="dxa"/>
            </w:tcMar>
            <w:vAlign w:val="center"/>
          </w:tcPr>
          <w:p w14:paraId="03E72888">
            <w:pPr>
              <w:jc w:val="center"/>
            </w:pPr>
            <w:r>
              <w:rPr>
                <w:rFonts w:ascii="宋体" w:hAnsi="宋体" w:eastAsia="宋体"/>
                <w:b w:val="0"/>
                <w:sz w:val="21"/>
              </w:rPr>
              <w:t>3153</w:t>
            </w:r>
          </w:p>
        </w:tc>
        <w:tc>
          <w:tcPr>
            <w:tcW w:w="1304" w:type="dxa"/>
            <w:tcMar>
              <w:top w:w="100" w:type="dxa"/>
              <w:left w:w="100" w:type="dxa"/>
              <w:bottom w:w="100" w:type="dxa"/>
              <w:right w:w="100" w:type="dxa"/>
            </w:tcMar>
            <w:vAlign w:val="center"/>
          </w:tcPr>
          <w:p w14:paraId="43D800A1">
            <w:pPr>
              <w:jc w:val="center"/>
            </w:pPr>
            <w:r>
              <w:rPr>
                <w:rFonts w:ascii="宋体" w:hAnsi="宋体" w:eastAsia="宋体"/>
                <w:b w:val="0"/>
                <w:sz w:val="21"/>
              </w:rPr>
              <w:t>114</w:t>
            </w:r>
          </w:p>
        </w:tc>
        <w:tc>
          <w:tcPr>
            <w:tcW w:w="1304" w:type="dxa"/>
            <w:tcMar>
              <w:top w:w="100" w:type="dxa"/>
              <w:left w:w="100" w:type="dxa"/>
              <w:bottom w:w="100" w:type="dxa"/>
              <w:right w:w="100" w:type="dxa"/>
            </w:tcMar>
            <w:vAlign w:val="center"/>
          </w:tcPr>
          <w:p w14:paraId="630BC76D">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20EC84BB">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7910A0F9">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248CFC17">
            <w:pPr>
              <w:jc w:val="center"/>
            </w:pPr>
            <w:r>
              <w:rPr>
                <w:rFonts w:ascii="宋体" w:hAnsi="宋体" w:eastAsia="宋体"/>
                <w:b w:val="0"/>
                <w:sz w:val="21"/>
              </w:rPr>
              <w:t>515</w:t>
            </w:r>
          </w:p>
        </w:tc>
      </w:tr>
      <w:tr w14:paraId="3C2CA9A2">
        <w:trPr>
          <w:jc w:val="center"/>
        </w:trPr>
        <w:tc>
          <w:tcPr>
            <w:tcW w:w="1304" w:type="dxa"/>
            <w:tcMar>
              <w:top w:w="100" w:type="dxa"/>
              <w:left w:w="100" w:type="dxa"/>
              <w:bottom w:w="100" w:type="dxa"/>
              <w:right w:w="100" w:type="dxa"/>
            </w:tcMar>
            <w:vAlign w:val="center"/>
          </w:tcPr>
          <w:p w14:paraId="0829D4C0">
            <w:pPr>
              <w:jc w:val="center"/>
            </w:pPr>
            <w:r>
              <w:rPr>
                <w:rFonts w:ascii="宋体" w:hAnsi="宋体" w:eastAsia="宋体"/>
                <w:b w:val="0"/>
                <w:sz w:val="21"/>
              </w:rPr>
              <w:t>正常</w:t>
            </w:r>
          </w:p>
        </w:tc>
        <w:tc>
          <w:tcPr>
            <w:tcW w:w="1304" w:type="dxa"/>
            <w:tcMar>
              <w:top w:w="100" w:type="dxa"/>
              <w:left w:w="100" w:type="dxa"/>
              <w:bottom w:w="100" w:type="dxa"/>
              <w:right w:w="100" w:type="dxa"/>
            </w:tcMar>
            <w:vAlign w:val="center"/>
          </w:tcPr>
          <w:p w14:paraId="2D44C966">
            <w:pPr>
              <w:jc w:val="center"/>
            </w:pPr>
            <w:r>
              <w:rPr>
                <w:rFonts w:ascii="宋体" w:hAnsi="宋体" w:eastAsia="宋体"/>
                <w:b w:val="0"/>
                <w:sz w:val="21"/>
              </w:rPr>
              <w:t>44</w:t>
            </w:r>
          </w:p>
        </w:tc>
        <w:tc>
          <w:tcPr>
            <w:tcW w:w="1304" w:type="dxa"/>
            <w:tcMar>
              <w:top w:w="100" w:type="dxa"/>
              <w:left w:w="100" w:type="dxa"/>
              <w:bottom w:w="100" w:type="dxa"/>
              <w:right w:w="100" w:type="dxa"/>
            </w:tcMar>
            <w:vAlign w:val="center"/>
          </w:tcPr>
          <w:p w14:paraId="196AAA99">
            <w:pPr>
              <w:jc w:val="center"/>
            </w:pPr>
            <w:r>
              <w:rPr>
                <w:rFonts w:ascii="宋体" w:hAnsi="宋体" w:eastAsia="宋体"/>
                <w:b w:val="0"/>
                <w:sz w:val="21"/>
              </w:rPr>
              <w:t>16188</w:t>
            </w:r>
          </w:p>
        </w:tc>
        <w:tc>
          <w:tcPr>
            <w:tcW w:w="1304" w:type="dxa"/>
            <w:tcMar>
              <w:top w:w="100" w:type="dxa"/>
              <w:left w:w="100" w:type="dxa"/>
              <w:bottom w:w="100" w:type="dxa"/>
              <w:right w:w="100" w:type="dxa"/>
            </w:tcMar>
            <w:vAlign w:val="center"/>
          </w:tcPr>
          <w:p w14:paraId="792CC2AF">
            <w:pPr>
              <w:jc w:val="center"/>
            </w:pPr>
            <w:r>
              <w:rPr>
                <w:rFonts w:ascii="宋体" w:hAnsi="宋体" w:eastAsia="宋体"/>
                <w:b w:val="0"/>
                <w:sz w:val="21"/>
              </w:rPr>
              <w:t>2</w:t>
            </w:r>
          </w:p>
        </w:tc>
        <w:tc>
          <w:tcPr>
            <w:tcW w:w="1304" w:type="dxa"/>
            <w:tcMar>
              <w:top w:w="100" w:type="dxa"/>
              <w:left w:w="100" w:type="dxa"/>
              <w:bottom w:w="100" w:type="dxa"/>
              <w:right w:w="100" w:type="dxa"/>
            </w:tcMar>
            <w:vAlign w:val="center"/>
          </w:tcPr>
          <w:p w14:paraId="0988E241">
            <w:pPr>
              <w:jc w:val="center"/>
            </w:pPr>
            <w:r>
              <w:rPr>
                <w:rFonts w:ascii="宋体" w:hAnsi="宋体" w:eastAsia="宋体"/>
                <w:b w:val="0"/>
                <w:sz w:val="21"/>
              </w:rPr>
              <w:t>151</w:t>
            </w:r>
          </w:p>
        </w:tc>
        <w:tc>
          <w:tcPr>
            <w:tcW w:w="1304" w:type="dxa"/>
            <w:tcMar>
              <w:top w:w="100" w:type="dxa"/>
              <w:left w:w="100" w:type="dxa"/>
              <w:bottom w:w="100" w:type="dxa"/>
              <w:right w:w="100" w:type="dxa"/>
            </w:tcMar>
            <w:vAlign w:val="center"/>
          </w:tcPr>
          <w:p w14:paraId="0959D91A">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0F3B9EEE">
            <w:pPr>
              <w:jc w:val="center"/>
            </w:pPr>
            <w:r>
              <w:rPr>
                <w:rFonts w:ascii="宋体" w:hAnsi="宋体" w:eastAsia="宋体"/>
                <w:b w:val="0"/>
                <w:sz w:val="21"/>
              </w:rPr>
              <w:t>156</w:t>
            </w:r>
          </w:p>
        </w:tc>
      </w:tr>
      <w:tr w14:paraId="50BADA07">
        <w:trPr>
          <w:jc w:val="center"/>
        </w:trPr>
        <w:tc>
          <w:tcPr>
            <w:tcW w:w="1304" w:type="dxa"/>
            <w:tcMar>
              <w:top w:w="100" w:type="dxa"/>
              <w:left w:w="100" w:type="dxa"/>
              <w:bottom w:w="100" w:type="dxa"/>
              <w:right w:w="100" w:type="dxa"/>
            </w:tcMar>
            <w:vAlign w:val="center"/>
          </w:tcPr>
          <w:p w14:paraId="0B1E2091">
            <w:pPr>
              <w:jc w:val="center"/>
            </w:pPr>
            <w:r>
              <w:rPr>
                <w:rFonts w:ascii="宋体" w:hAnsi="宋体" w:eastAsia="宋体"/>
                <w:b w:val="0"/>
                <w:sz w:val="21"/>
              </w:rPr>
              <w:t>汽蚀</w:t>
            </w:r>
          </w:p>
        </w:tc>
        <w:tc>
          <w:tcPr>
            <w:tcW w:w="1304" w:type="dxa"/>
            <w:tcMar>
              <w:top w:w="100" w:type="dxa"/>
              <w:left w:w="100" w:type="dxa"/>
              <w:bottom w:w="100" w:type="dxa"/>
              <w:right w:w="100" w:type="dxa"/>
            </w:tcMar>
            <w:vAlign w:val="center"/>
          </w:tcPr>
          <w:p w14:paraId="43C6BC24">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0164D46D">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5F1BF16B">
            <w:pPr>
              <w:jc w:val="center"/>
            </w:pPr>
            <w:r>
              <w:rPr>
                <w:rFonts w:ascii="宋体" w:hAnsi="宋体" w:eastAsia="宋体"/>
                <w:b w:val="0"/>
                <w:sz w:val="21"/>
              </w:rPr>
              <w:t>2944</w:t>
            </w:r>
          </w:p>
        </w:tc>
        <w:tc>
          <w:tcPr>
            <w:tcW w:w="1304" w:type="dxa"/>
            <w:tcMar>
              <w:top w:w="100" w:type="dxa"/>
              <w:left w:w="100" w:type="dxa"/>
              <w:bottom w:w="100" w:type="dxa"/>
              <w:right w:w="100" w:type="dxa"/>
            </w:tcMar>
            <w:vAlign w:val="center"/>
          </w:tcPr>
          <w:p w14:paraId="7FB64C6B">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57F97437">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35A5E7F4">
            <w:pPr>
              <w:jc w:val="center"/>
            </w:pPr>
            <w:r>
              <w:rPr>
                <w:rFonts w:ascii="宋体" w:hAnsi="宋体" w:eastAsia="宋体"/>
                <w:b w:val="0"/>
                <w:sz w:val="21"/>
              </w:rPr>
              <w:t>1</w:t>
            </w:r>
          </w:p>
        </w:tc>
      </w:tr>
      <w:tr w14:paraId="61AB433A">
        <w:trPr>
          <w:jc w:val="center"/>
        </w:trPr>
        <w:tc>
          <w:tcPr>
            <w:tcW w:w="1304" w:type="dxa"/>
            <w:tcMar>
              <w:top w:w="100" w:type="dxa"/>
              <w:left w:w="100" w:type="dxa"/>
              <w:bottom w:w="100" w:type="dxa"/>
              <w:right w:w="100" w:type="dxa"/>
            </w:tcMar>
            <w:vAlign w:val="center"/>
          </w:tcPr>
          <w:p w14:paraId="24CB78E0">
            <w:pPr>
              <w:jc w:val="center"/>
            </w:pPr>
            <w:r>
              <w:rPr>
                <w:rFonts w:ascii="宋体" w:hAnsi="宋体" w:eastAsia="宋体"/>
                <w:b w:val="0"/>
                <w:sz w:val="21"/>
              </w:rPr>
              <w:t>联轴器不对中</w:t>
            </w:r>
          </w:p>
        </w:tc>
        <w:tc>
          <w:tcPr>
            <w:tcW w:w="1304" w:type="dxa"/>
            <w:tcMar>
              <w:top w:w="100" w:type="dxa"/>
              <w:left w:w="100" w:type="dxa"/>
              <w:bottom w:w="100" w:type="dxa"/>
              <w:right w:w="100" w:type="dxa"/>
            </w:tcMar>
            <w:vAlign w:val="center"/>
          </w:tcPr>
          <w:p w14:paraId="0BFEB13C">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7B0E886C">
            <w:pPr>
              <w:jc w:val="center"/>
            </w:pPr>
            <w:r>
              <w:rPr>
                <w:rFonts w:ascii="宋体" w:hAnsi="宋体" w:eastAsia="宋体"/>
                <w:b w:val="0"/>
                <w:sz w:val="21"/>
              </w:rPr>
              <w:t>122</w:t>
            </w:r>
          </w:p>
        </w:tc>
        <w:tc>
          <w:tcPr>
            <w:tcW w:w="1304" w:type="dxa"/>
            <w:tcMar>
              <w:top w:w="100" w:type="dxa"/>
              <w:left w:w="100" w:type="dxa"/>
              <w:bottom w:w="100" w:type="dxa"/>
              <w:right w:w="100" w:type="dxa"/>
            </w:tcMar>
            <w:vAlign w:val="center"/>
          </w:tcPr>
          <w:p w14:paraId="261E3DE6">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2600AA0B">
            <w:pPr>
              <w:jc w:val="center"/>
            </w:pPr>
            <w:r>
              <w:rPr>
                <w:rFonts w:ascii="宋体" w:hAnsi="宋体" w:eastAsia="宋体"/>
                <w:b w:val="0"/>
                <w:sz w:val="21"/>
              </w:rPr>
              <w:t>4883</w:t>
            </w:r>
          </w:p>
        </w:tc>
        <w:tc>
          <w:tcPr>
            <w:tcW w:w="1304" w:type="dxa"/>
            <w:tcMar>
              <w:top w:w="100" w:type="dxa"/>
              <w:left w:w="100" w:type="dxa"/>
              <w:bottom w:w="100" w:type="dxa"/>
              <w:right w:w="100" w:type="dxa"/>
            </w:tcMar>
            <w:vAlign w:val="center"/>
          </w:tcPr>
          <w:p w14:paraId="40B06557">
            <w:pPr>
              <w:jc w:val="center"/>
            </w:pPr>
            <w:r>
              <w:rPr>
                <w:rFonts w:ascii="宋体" w:hAnsi="宋体" w:eastAsia="宋体"/>
                <w:b w:val="0"/>
                <w:sz w:val="21"/>
              </w:rPr>
              <w:t>27</w:t>
            </w:r>
          </w:p>
        </w:tc>
        <w:tc>
          <w:tcPr>
            <w:tcW w:w="1304" w:type="dxa"/>
            <w:tcMar>
              <w:top w:w="100" w:type="dxa"/>
              <w:left w:w="100" w:type="dxa"/>
              <w:bottom w:w="100" w:type="dxa"/>
              <w:right w:w="100" w:type="dxa"/>
            </w:tcMar>
            <w:vAlign w:val="center"/>
          </w:tcPr>
          <w:p w14:paraId="7D0E3324">
            <w:pPr>
              <w:jc w:val="center"/>
            </w:pPr>
            <w:r>
              <w:rPr>
                <w:rFonts w:ascii="宋体" w:hAnsi="宋体" w:eastAsia="宋体"/>
                <w:b w:val="0"/>
                <w:sz w:val="21"/>
              </w:rPr>
              <w:t>2</w:t>
            </w:r>
          </w:p>
        </w:tc>
      </w:tr>
      <w:tr w14:paraId="1C57FACB">
        <w:trPr>
          <w:jc w:val="center"/>
        </w:trPr>
        <w:tc>
          <w:tcPr>
            <w:tcW w:w="1304" w:type="dxa"/>
            <w:tcMar>
              <w:top w:w="100" w:type="dxa"/>
              <w:left w:w="100" w:type="dxa"/>
              <w:bottom w:w="100" w:type="dxa"/>
              <w:right w:w="100" w:type="dxa"/>
            </w:tcMar>
            <w:vAlign w:val="center"/>
          </w:tcPr>
          <w:p w14:paraId="1F98B519">
            <w:pPr>
              <w:jc w:val="center"/>
            </w:pPr>
            <w:r>
              <w:rPr>
                <w:rFonts w:ascii="宋体" w:hAnsi="宋体" w:eastAsia="宋体"/>
                <w:b w:val="0"/>
                <w:sz w:val="21"/>
              </w:rPr>
              <w:t>转子不平衡</w:t>
            </w:r>
          </w:p>
        </w:tc>
        <w:tc>
          <w:tcPr>
            <w:tcW w:w="1304" w:type="dxa"/>
            <w:tcMar>
              <w:top w:w="100" w:type="dxa"/>
              <w:left w:w="100" w:type="dxa"/>
              <w:bottom w:w="100" w:type="dxa"/>
              <w:right w:w="100" w:type="dxa"/>
            </w:tcMar>
            <w:vAlign w:val="center"/>
          </w:tcPr>
          <w:p w14:paraId="2EA21C53">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3F1DB335">
            <w:pPr>
              <w:jc w:val="center"/>
            </w:pPr>
            <w:r>
              <w:rPr>
                <w:rFonts w:ascii="宋体" w:hAnsi="宋体" w:eastAsia="宋体"/>
                <w:b w:val="0"/>
                <w:sz w:val="21"/>
              </w:rPr>
              <w:t>3</w:t>
            </w:r>
          </w:p>
        </w:tc>
        <w:tc>
          <w:tcPr>
            <w:tcW w:w="1304" w:type="dxa"/>
            <w:tcMar>
              <w:top w:w="100" w:type="dxa"/>
              <w:left w:w="100" w:type="dxa"/>
              <w:bottom w:w="100" w:type="dxa"/>
              <w:right w:w="100" w:type="dxa"/>
            </w:tcMar>
            <w:vAlign w:val="center"/>
          </w:tcPr>
          <w:p w14:paraId="4EBE8220">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2B7F15D9">
            <w:pPr>
              <w:jc w:val="center"/>
            </w:pPr>
            <w:r>
              <w:rPr>
                <w:rFonts w:ascii="宋体" w:hAnsi="宋体" w:eastAsia="宋体"/>
                <w:b w:val="0"/>
                <w:sz w:val="21"/>
              </w:rPr>
              <w:t>33</w:t>
            </w:r>
          </w:p>
        </w:tc>
        <w:tc>
          <w:tcPr>
            <w:tcW w:w="1304" w:type="dxa"/>
            <w:tcMar>
              <w:top w:w="100" w:type="dxa"/>
              <w:left w:w="100" w:type="dxa"/>
              <w:bottom w:w="100" w:type="dxa"/>
              <w:right w:w="100" w:type="dxa"/>
            </w:tcMar>
            <w:vAlign w:val="center"/>
          </w:tcPr>
          <w:p w14:paraId="509BA9BA">
            <w:pPr>
              <w:jc w:val="center"/>
            </w:pPr>
            <w:r>
              <w:rPr>
                <w:rFonts w:ascii="宋体" w:hAnsi="宋体" w:eastAsia="宋体"/>
                <w:b w:val="0"/>
                <w:sz w:val="21"/>
              </w:rPr>
              <w:t>2932</w:t>
            </w:r>
          </w:p>
        </w:tc>
        <w:tc>
          <w:tcPr>
            <w:tcW w:w="1304" w:type="dxa"/>
            <w:tcMar>
              <w:top w:w="100" w:type="dxa"/>
              <w:left w:w="100" w:type="dxa"/>
              <w:bottom w:w="100" w:type="dxa"/>
              <w:right w:w="100" w:type="dxa"/>
            </w:tcMar>
            <w:vAlign w:val="center"/>
          </w:tcPr>
          <w:p w14:paraId="6792D018">
            <w:pPr>
              <w:jc w:val="center"/>
            </w:pPr>
            <w:r>
              <w:rPr>
                <w:rFonts w:ascii="宋体" w:hAnsi="宋体" w:eastAsia="宋体"/>
                <w:b w:val="0"/>
                <w:sz w:val="21"/>
              </w:rPr>
              <w:t>1</w:t>
            </w:r>
          </w:p>
        </w:tc>
      </w:tr>
      <w:tr w14:paraId="5994842A">
        <w:trPr>
          <w:jc w:val="center"/>
        </w:trPr>
        <w:tc>
          <w:tcPr>
            <w:tcW w:w="1304" w:type="dxa"/>
            <w:tcMar>
              <w:top w:w="100" w:type="dxa"/>
              <w:left w:w="100" w:type="dxa"/>
              <w:bottom w:w="100" w:type="dxa"/>
              <w:right w:w="100" w:type="dxa"/>
            </w:tcMar>
            <w:vAlign w:val="center"/>
          </w:tcPr>
          <w:p w14:paraId="5CE535CE">
            <w:pPr>
              <w:jc w:val="center"/>
            </w:pPr>
            <w:r>
              <w:rPr>
                <w:rFonts w:ascii="宋体" w:hAnsi="宋体" w:eastAsia="宋体"/>
                <w:b w:val="0"/>
                <w:sz w:val="21"/>
              </w:rPr>
              <w:t>轴承故障</w:t>
            </w:r>
          </w:p>
        </w:tc>
        <w:tc>
          <w:tcPr>
            <w:tcW w:w="1304" w:type="dxa"/>
            <w:tcMar>
              <w:top w:w="100" w:type="dxa"/>
              <w:left w:w="100" w:type="dxa"/>
              <w:bottom w:w="100" w:type="dxa"/>
              <w:right w:w="100" w:type="dxa"/>
            </w:tcMar>
            <w:vAlign w:val="center"/>
          </w:tcPr>
          <w:p w14:paraId="02A61481">
            <w:pPr>
              <w:jc w:val="center"/>
            </w:pPr>
            <w:r>
              <w:rPr>
                <w:rFonts w:ascii="宋体" w:hAnsi="宋体" w:eastAsia="宋体"/>
                <w:b w:val="0"/>
                <w:sz w:val="21"/>
              </w:rPr>
              <w:t>259</w:t>
            </w:r>
          </w:p>
        </w:tc>
        <w:tc>
          <w:tcPr>
            <w:tcW w:w="1304" w:type="dxa"/>
            <w:tcMar>
              <w:top w:w="100" w:type="dxa"/>
              <w:left w:w="100" w:type="dxa"/>
              <w:bottom w:w="100" w:type="dxa"/>
              <w:right w:w="100" w:type="dxa"/>
            </w:tcMar>
            <w:vAlign w:val="center"/>
          </w:tcPr>
          <w:p w14:paraId="363087A3">
            <w:pPr>
              <w:jc w:val="center"/>
            </w:pPr>
            <w:r>
              <w:rPr>
                <w:rFonts w:ascii="宋体" w:hAnsi="宋体" w:eastAsia="宋体"/>
                <w:b w:val="0"/>
                <w:sz w:val="21"/>
              </w:rPr>
              <w:t>344</w:t>
            </w:r>
          </w:p>
        </w:tc>
        <w:tc>
          <w:tcPr>
            <w:tcW w:w="1304" w:type="dxa"/>
            <w:tcMar>
              <w:top w:w="100" w:type="dxa"/>
              <w:left w:w="100" w:type="dxa"/>
              <w:bottom w:w="100" w:type="dxa"/>
              <w:right w:w="100" w:type="dxa"/>
            </w:tcMar>
            <w:vAlign w:val="center"/>
          </w:tcPr>
          <w:p w14:paraId="1E5B6598">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71301673">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747E6D9F">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4FEDDAF5">
            <w:pPr>
              <w:jc w:val="center"/>
            </w:pPr>
            <w:r>
              <w:rPr>
                <w:rFonts w:ascii="宋体" w:hAnsi="宋体" w:eastAsia="宋体"/>
                <w:b w:val="0"/>
                <w:sz w:val="21"/>
              </w:rPr>
              <w:t>10926</w:t>
            </w:r>
          </w:p>
        </w:tc>
      </w:tr>
    </w:tbl>
    <w:p w14:paraId="6629EF12">
      <w:pPr>
        <w:jc w:val="center"/>
        <w:rPr>
          <w:b/>
        </w:rPr>
      </w:pPr>
    </w:p>
    <w:p w14:paraId="67DC9488">
      <w:pPr>
        <w:jc w:val="center"/>
        <w:rPr>
          <w:b/>
        </w:rPr>
      </w:pPr>
    </w:p>
    <w:p w14:paraId="665A132E">
      <w:pPr>
        <w:jc w:val="center"/>
      </w:pPr>
      <w:r>
        <w:rPr>
          <w:b/>
        </w:rPr>
        <w:t>图 4-7 随机森林模型测试集混淆矩阵</w:t>
      </w:r>
    </w:p>
    <w:p w14:paraId="0810EF4A">
      <w:pPr>
        <w:jc w:val="center"/>
      </w:pPr>
      <w:r>
        <w:drawing>
          <wp:inline distT="0" distB="0" distL="114300" distR="114300">
            <wp:extent cx="4937760" cy="4845050"/>
            <wp:effectExtent l="0" t="0" r="152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937760" cy="4845465"/>
                    </a:xfrm>
                    <a:prstGeom prst="rect">
                      <a:avLst/>
                    </a:prstGeom>
                  </pic:spPr>
                </pic:pic>
              </a:graphicData>
            </a:graphic>
          </wp:inline>
        </w:drawing>
      </w:r>
    </w:p>
    <w:p w14:paraId="4D08073B">
      <w:pPr>
        <w:ind w:firstLine="420" w:firstLineChars="200"/>
        <w:rPr>
          <w:sz w:val="24"/>
          <w:szCs w:val="24"/>
        </w:rPr>
      </w:pPr>
      <w:r>
        <w:rPr>
          <w:rFonts w:ascii="宋体" w:hAnsi="宋体" w:eastAsia="宋体"/>
          <w:sz w:val="21"/>
        </w:rPr>
        <w:t>从混淆矩阵可以看出，汽蚀类识别最稳定，2944 个汽蚀测试样本被正确识别，仅有 2 个样本误分到其他类别。这说明汽蚀样本的宽带冲击、频带能量分布和包络谱特征与其他机械故障存在较明显差异。汽蚀由气泡产生和破裂引起，其高频随机冲击特征与轴系周期性故障不同，因此模型能够较好识别该类状态。</w:t>
      </w:r>
    </w:p>
    <w:p w14:paraId="1BF31673">
      <w:pPr>
        <w:ind w:firstLine="420" w:firstLineChars="200"/>
        <w:rPr>
          <w:sz w:val="24"/>
          <w:szCs w:val="24"/>
        </w:rPr>
      </w:pPr>
      <w:r>
        <w:rPr>
          <w:rFonts w:ascii="宋体" w:hAnsi="宋体" w:eastAsia="宋体"/>
          <w:sz w:val="21"/>
        </w:rPr>
        <w:t>转子不平衡类和联轴器不对中类总体识别效果较好，但二者之间仍存在少量混淆。联轴器不对中类有 27 个样本被预测为转子不平衡类，转子不平衡类有 33 个样本被预测为联轴器不对中类。其原因在于二者都与转频及低频倍频成分有关，不平衡主要表现为 1X 转频增强，不对中则常伴随 1X 和 2X 成分变化。当实际信号中 1X 和 2X 同时存在或工况差异较大时，模型可能将两类故障边界判得不够清晰。</w:t>
      </w:r>
    </w:p>
    <w:p w14:paraId="00ED6AB2">
      <w:pPr>
        <w:ind w:firstLine="420" w:firstLineChars="200"/>
        <w:rPr>
          <w:sz w:val="24"/>
          <w:szCs w:val="24"/>
        </w:rPr>
      </w:pPr>
      <w:r>
        <w:rPr>
          <w:rFonts w:ascii="宋体" w:hAnsi="宋体" w:eastAsia="宋体"/>
          <w:sz w:val="21"/>
        </w:rPr>
        <w:t>误判较明显的类别主要出现在松动类与轴承故障类之间。松动类中有 515 个样本被识别为轴承故障类，轴承故障类中有 259 个样本被识别为松动类。这与第 2 章故障机理分析一致：松动和轴承故障都可能产生冲击、高频响应和波形尖峰，仅依靠峭度、包络谱或高频能量分布时，两类特征可能存在重叠。后续可通过增加更细的轴承故障频率特征、引入多测点信息或结合时序稳定性特征进一步改善区分能力。</w:t>
      </w:r>
    </w:p>
    <w:p w14:paraId="6464C5AF">
      <w:pPr>
        <w:ind w:firstLine="420" w:firstLineChars="200"/>
        <w:rPr>
          <w:sz w:val="24"/>
          <w:szCs w:val="24"/>
        </w:rPr>
      </w:pPr>
      <w:r>
        <w:rPr>
          <w:rFonts w:ascii="宋体" w:hAnsi="宋体" w:eastAsia="宋体"/>
          <w:sz w:val="21"/>
        </w:rPr>
        <w:t>正常类中仍有少量样本被预测为轴承故障、不对中或松动，说明正常工况中可能存在噪声、轻微波动或与故障特征相似的局部片段。对于工程应用而言，系统不宜仅根据单个片段直接给出最终结论，而应结合多个片段的多数投票、平均概率或异常片段比例进行综合判断，以提高诊断结果稳定性。</w:t>
      </w:r>
    </w:p>
    <w:p w14:paraId="272B9F1A">
      <w:pPr>
        <w:pStyle w:val="4"/>
      </w:pPr>
      <w:r>
        <w:rPr>
          <w:rFonts w:ascii="宋体" w:hAnsi="宋体" w:eastAsia="宋体"/>
          <w:sz w:val="22"/>
        </w:rPr>
        <w:t>4.8 特征重要性与故障机理对应分析</w:t>
      </w:r>
    </w:p>
    <w:p w14:paraId="38FDC029">
      <w:pPr>
        <w:ind w:firstLine="480" w:firstLineChars="200"/>
        <w:rPr>
          <w:sz w:val="24"/>
          <w:szCs w:val="24"/>
        </w:rPr>
      </w:pPr>
      <w:r>
        <w:t>随机森林能够输出各输入特征对分类结果的相对贡献。本文采用 scikit-learn 随机森林基于节点不纯度下降的 feature_importances_ 进行排序。该重要性能够反映特征在树节点划分中降低不纯度的平均贡献，但对连续变量可能存在一定偏好，且相关特征之间可能分摊重要性。因此，该结果主要用于辅助解释模型依赖关系，不直接等同于故障机理本身。表 4-9 给出了随机森林模型前十个重要特征。</w:t>
      </w:r>
    </w:p>
    <w:p w14:paraId="390FA56F">
      <w:pPr>
        <w:jc w:val="center"/>
        <w:rPr>
          <w:sz w:val="24"/>
          <w:szCs w:val="24"/>
        </w:rPr>
      </w:pPr>
      <w:r>
        <w:rPr>
          <w:rFonts w:ascii="宋体" w:hAnsi="宋体" w:eastAsia="宋体"/>
          <w:b/>
          <w:sz w:val="24"/>
          <w:szCs w:val="24"/>
        </w:rPr>
        <w:t>表 4-9 随机森林前十个重要特征</w:t>
      </w:r>
    </w:p>
    <w:p w14:paraId="34BACB97">
      <w:r>
        <w:rPr>
          <w:rFonts w:ascii="宋体" w:hAnsi="宋体" w:eastAsia="宋体"/>
          <w:sz w:val="21"/>
        </w:rPr>
        <w:t>表 4-9 中的重要性仅基于训练集随机森林模型计算，未使用测试集信息。该结果主要用于分析模型对不同振动特征的依赖程度，并辅助解释特征与故障机理之间的对应关系。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37DE250A">
        <w:trPr>
          <w:jc w:val="center"/>
        </w:trPr>
        <w:tc>
          <w:tcPr>
            <w:tcW w:w="3043" w:type="dxa"/>
            <w:shd w:val="clear" w:color="auto" w:fill="E8EEF5"/>
            <w:tcMar>
              <w:top w:w="100" w:type="dxa"/>
              <w:left w:w="100" w:type="dxa"/>
              <w:bottom w:w="100" w:type="dxa"/>
              <w:right w:w="100" w:type="dxa"/>
            </w:tcMar>
            <w:vAlign w:val="center"/>
          </w:tcPr>
          <w:p w14:paraId="151EC143">
            <w:pPr>
              <w:jc w:val="center"/>
            </w:pPr>
            <w:r>
              <w:rPr>
                <w:rFonts w:ascii="宋体" w:hAnsi="宋体" w:eastAsia="宋体"/>
                <w:b/>
                <w:sz w:val="21"/>
              </w:rPr>
              <w:t>排序</w:t>
            </w:r>
          </w:p>
        </w:tc>
        <w:tc>
          <w:tcPr>
            <w:tcW w:w="3043" w:type="dxa"/>
            <w:shd w:val="clear" w:color="auto" w:fill="E8EEF5"/>
            <w:tcMar>
              <w:top w:w="100" w:type="dxa"/>
              <w:left w:w="100" w:type="dxa"/>
              <w:bottom w:w="100" w:type="dxa"/>
              <w:right w:w="100" w:type="dxa"/>
            </w:tcMar>
            <w:vAlign w:val="center"/>
          </w:tcPr>
          <w:p w14:paraId="3D9E6D03">
            <w:pPr>
              <w:jc w:val="center"/>
            </w:pPr>
            <w:r>
              <w:rPr>
                <w:rFonts w:ascii="宋体" w:hAnsi="宋体" w:eastAsia="宋体"/>
                <w:b/>
                <w:sz w:val="21"/>
              </w:rPr>
              <w:t>特征名称</w:t>
            </w:r>
          </w:p>
        </w:tc>
        <w:tc>
          <w:tcPr>
            <w:tcW w:w="3043" w:type="dxa"/>
            <w:shd w:val="clear" w:color="auto" w:fill="E8EEF5"/>
            <w:tcMar>
              <w:top w:w="100" w:type="dxa"/>
              <w:left w:w="100" w:type="dxa"/>
              <w:bottom w:w="100" w:type="dxa"/>
              <w:right w:w="100" w:type="dxa"/>
            </w:tcMar>
            <w:vAlign w:val="center"/>
          </w:tcPr>
          <w:p w14:paraId="65C57BCE">
            <w:pPr>
              <w:jc w:val="center"/>
            </w:pPr>
            <w:r>
              <w:rPr>
                <w:rFonts w:ascii="宋体" w:hAnsi="宋体" w:eastAsia="宋体"/>
                <w:b/>
                <w:sz w:val="21"/>
              </w:rPr>
              <w:t>重要性</w:t>
            </w:r>
          </w:p>
        </w:tc>
      </w:tr>
      <w:tr w14:paraId="753651CA">
        <w:trPr>
          <w:jc w:val="center"/>
        </w:trPr>
        <w:tc>
          <w:tcPr>
            <w:tcW w:w="3043" w:type="dxa"/>
            <w:tcMar>
              <w:top w:w="100" w:type="dxa"/>
              <w:left w:w="100" w:type="dxa"/>
              <w:bottom w:w="100" w:type="dxa"/>
              <w:right w:w="100" w:type="dxa"/>
            </w:tcMar>
            <w:vAlign w:val="center"/>
          </w:tcPr>
          <w:p w14:paraId="56F39C6E">
            <w:pPr>
              <w:jc w:val="center"/>
            </w:pPr>
            <w:r>
              <w:rPr>
                <w:rFonts w:ascii="宋体" w:hAnsi="宋体" w:eastAsia="宋体"/>
                <w:b w:val="0"/>
                <w:sz w:val="21"/>
              </w:rPr>
              <w:t>1</w:t>
            </w:r>
          </w:p>
        </w:tc>
        <w:tc>
          <w:tcPr>
            <w:tcW w:w="3043" w:type="dxa"/>
            <w:tcMar>
              <w:top w:w="100" w:type="dxa"/>
              <w:left w:w="100" w:type="dxa"/>
              <w:bottom w:w="100" w:type="dxa"/>
              <w:right w:w="100" w:type="dxa"/>
            </w:tcMar>
            <w:vAlign w:val="center"/>
          </w:tcPr>
          <w:p w14:paraId="377EA2D9">
            <w:pPr>
              <w:jc w:val="center"/>
            </w:pPr>
            <w:r>
              <w:rPr>
                <w:rFonts w:ascii="宋体" w:hAnsi="宋体" w:eastAsia="宋体"/>
                <w:b w:val="0"/>
                <w:sz w:val="21"/>
              </w:rPr>
              <w:t>均方根值</w:t>
            </w:r>
          </w:p>
        </w:tc>
        <w:tc>
          <w:tcPr>
            <w:tcW w:w="3043" w:type="dxa"/>
            <w:tcMar>
              <w:top w:w="100" w:type="dxa"/>
              <w:left w:w="100" w:type="dxa"/>
              <w:bottom w:w="100" w:type="dxa"/>
              <w:right w:w="100" w:type="dxa"/>
            </w:tcMar>
            <w:vAlign w:val="center"/>
          </w:tcPr>
          <w:p w14:paraId="51C1FA95">
            <w:pPr>
              <w:jc w:val="center"/>
            </w:pPr>
            <w:r>
              <w:rPr>
                <w:rFonts w:ascii="宋体" w:hAnsi="宋体" w:eastAsia="宋体"/>
                <w:b w:val="0"/>
                <w:sz w:val="21"/>
              </w:rPr>
              <w:t>0.1093</w:t>
            </w:r>
          </w:p>
        </w:tc>
      </w:tr>
      <w:tr w14:paraId="2D9F873F">
        <w:trPr>
          <w:jc w:val="center"/>
        </w:trPr>
        <w:tc>
          <w:tcPr>
            <w:tcW w:w="3043" w:type="dxa"/>
            <w:tcMar>
              <w:top w:w="100" w:type="dxa"/>
              <w:left w:w="100" w:type="dxa"/>
              <w:bottom w:w="100" w:type="dxa"/>
              <w:right w:w="100" w:type="dxa"/>
            </w:tcMar>
            <w:vAlign w:val="center"/>
          </w:tcPr>
          <w:p w14:paraId="077BB7A4">
            <w:pPr>
              <w:jc w:val="center"/>
            </w:pPr>
            <w:r>
              <w:rPr>
                <w:rFonts w:ascii="宋体" w:hAnsi="宋体" w:eastAsia="宋体"/>
                <w:b w:val="0"/>
                <w:sz w:val="21"/>
              </w:rPr>
              <w:t>2</w:t>
            </w:r>
          </w:p>
        </w:tc>
        <w:tc>
          <w:tcPr>
            <w:tcW w:w="3043" w:type="dxa"/>
            <w:tcMar>
              <w:top w:w="100" w:type="dxa"/>
              <w:left w:w="100" w:type="dxa"/>
              <w:bottom w:w="100" w:type="dxa"/>
              <w:right w:w="100" w:type="dxa"/>
            </w:tcMar>
            <w:vAlign w:val="center"/>
          </w:tcPr>
          <w:p w14:paraId="2BEC49EC">
            <w:pPr>
              <w:jc w:val="center"/>
            </w:pPr>
            <w:r>
              <w:rPr>
                <w:rFonts w:ascii="宋体" w:hAnsi="宋体" w:eastAsia="宋体"/>
                <w:b w:val="0"/>
                <w:sz w:val="21"/>
              </w:rPr>
              <w:t>一倍转频幅值</w:t>
            </w:r>
          </w:p>
        </w:tc>
        <w:tc>
          <w:tcPr>
            <w:tcW w:w="3043" w:type="dxa"/>
            <w:tcMar>
              <w:top w:w="100" w:type="dxa"/>
              <w:left w:w="100" w:type="dxa"/>
              <w:bottom w:w="100" w:type="dxa"/>
              <w:right w:w="100" w:type="dxa"/>
            </w:tcMar>
            <w:vAlign w:val="center"/>
          </w:tcPr>
          <w:p w14:paraId="0DF6903C">
            <w:pPr>
              <w:jc w:val="center"/>
            </w:pPr>
            <w:r>
              <w:rPr>
                <w:rFonts w:ascii="宋体" w:hAnsi="宋体" w:eastAsia="宋体"/>
                <w:b w:val="0"/>
                <w:sz w:val="21"/>
              </w:rPr>
              <w:t>0.0942</w:t>
            </w:r>
          </w:p>
        </w:tc>
      </w:tr>
      <w:tr w14:paraId="01B89CF5">
        <w:trPr>
          <w:jc w:val="center"/>
        </w:trPr>
        <w:tc>
          <w:tcPr>
            <w:tcW w:w="3043" w:type="dxa"/>
            <w:tcMar>
              <w:top w:w="100" w:type="dxa"/>
              <w:left w:w="100" w:type="dxa"/>
              <w:bottom w:w="100" w:type="dxa"/>
              <w:right w:w="100" w:type="dxa"/>
            </w:tcMar>
            <w:vAlign w:val="center"/>
          </w:tcPr>
          <w:p w14:paraId="72D75515">
            <w:pPr>
              <w:jc w:val="center"/>
            </w:pPr>
            <w:r>
              <w:rPr>
                <w:rFonts w:ascii="宋体" w:hAnsi="宋体" w:eastAsia="宋体"/>
                <w:b w:val="0"/>
                <w:sz w:val="21"/>
              </w:rPr>
              <w:t>3</w:t>
            </w:r>
          </w:p>
        </w:tc>
        <w:tc>
          <w:tcPr>
            <w:tcW w:w="3043" w:type="dxa"/>
            <w:tcMar>
              <w:top w:w="100" w:type="dxa"/>
              <w:left w:w="100" w:type="dxa"/>
              <w:bottom w:w="100" w:type="dxa"/>
              <w:right w:w="100" w:type="dxa"/>
            </w:tcMar>
            <w:vAlign w:val="center"/>
          </w:tcPr>
          <w:p w14:paraId="172AABA1">
            <w:pPr>
              <w:jc w:val="center"/>
            </w:pPr>
            <w:r>
              <w:rPr>
                <w:rFonts w:ascii="宋体" w:hAnsi="宋体" w:eastAsia="宋体"/>
                <w:b w:val="0"/>
                <w:sz w:val="21"/>
              </w:rPr>
              <w:t>小波包节点7能量占比</w:t>
            </w:r>
          </w:p>
        </w:tc>
        <w:tc>
          <w:tcPr>
            <w:tcW w:w="3043" w:type="dxa"/>
            <w:tcMar>
              <w:top w:w="100" w:type="dxa"/>
              <w:left w:w="100" w:type="dxa"/>
              <w:bottom w:w="100" w:type="dxa"/>
              <w:right w:w="100" w:type="dxa"/>
            </w:tcMar>
            <w:vAlign w:val="center"/>
          </w:tcPr>
          <w:p w14:paraId="35D6897E">
            <w:pPr>
              <w:jc w:val="center"/>
            </w:pPr>
            <w:r>
              <w:rPr>
                <w:rFonts w:ascii="宋体" w:hAnsi="宋体" w:eastAsia="宋体"/>
                <w:b w:val="0"/>
                <w:sz w:val="21"/>
              </w:rPr>
              <w:t>0.0705</w:t>
            </w:r>
          </w:p>
        </w:tc>
      </w:tr>
      <w:tr w14:paraId="13F9422B">
        <w:trPr>
          <w:jc w:val="center"/>
        </w:trPr>
        <w:tc>
          <w:tcPr>
            <w:tcW w:w="3043" w:type="dxa"/>
            <w:tcMar>
              <w:top w:w="100" w:type="dxa"/>
              <w:left w:w="100" w:type="dxa"/>
              <w:bottom w:w="100" w:type="dxa"/>
              <w:right w:w="100" w:type="dxa"/>
            </w:tcMar>
            <w:vAlign w:val="center"/>
          </w:tcPr>
          <w:p w14:paraId="5580F987">
            <w:pPr>
              <w:jc w:val="center"/>
            </w:pPr>
            <w:r>
              <w:rPr>
                <w:rFonts w:ascii="宋体" w:hAnsi="宋体" w:eastAsia="宋体"/>
                <w:b w:val="0"/>
                <w:sz w:val="21"/>
              </w:rPr>
              <w:t>4</w:t>
            </w:r>
          </w:p>
        </w:tc>
        <w:tc>
          <w:tcPr>
            <w:tcW w:w="3043" w:type="dxa"/>
            <w:tcMar>
              <w:top w:w="100" w:type="dxa"/>
              <w:left w:w="100" w:type="dxa"/>
              <w:bottom w:w="100" w:type="dxa"/>
              <w:right w:w="100" w:type="dxa"/>
            </w:tcMar>
            <w:vAlign w:val="center"/>
          </w:tcPr>
          <w:p w14:paraId="06E6C983">
            <w:pPr>
              <w:jc w:val="center"/>
            </w:pPr>
            <w:r>
              <w:rPr>
                <w:rFonts w:ascii="宋体" w:hAnsi="宋体" w:eastAsia="宋体"/>
                <w:b w:val="0"/>
                <w:sz w:val="21"/>
              </w:rPr>
              <w:t>小波包节点3能量占比</w:t>
            </w:r>
          </w:p>
        </w:tc>
        <w:tc>
          <w:tcPr>
            <w:tcW w:w="3043" w:type="dxa"/>
            <w:tcMar>
              <w:top w:w="100" w:type="dxa"/>
              <w:left w:w="100" w:type="dxa"/>
              <w:bottom w:w="100" w:type="dxa"/>
              <w:right w:w="100" w:type="dxa"/>
            </w:tcMar>
            <w:vAlign w:val="center"/>
          </w:tcPr>
          <w:p w14:paraId="1BE18E50">
            <w:pPr>
              <w:jc w:val="center"/>
            </w:pPr>
            <w:r>
              <w:rPr>
                <w:rFonts w:ascii="宋体" w:hAnsi="宋体" w:eastAsia="宋体"/>
                <w:b w:val="0"/>
                <w:sz w:val="21"/>
              </w:rPr>
              <w:t>0.0662</w:t>
            </w:r>
          </w:p>
        </w:tc>
      </w:tr>
      <w:tr w14:paraId="573A672F">
        <w:trPr>
          <w:jc w:val="center"/>
        </w:trPr>
        <w:tc>
          <w:tcPr>
            <w:tcW w:w="3043" w:type="dxa"/>
            <w:tcMar>
              <w:top w:w="100" w:type="dxa"/>
              <w:left w:w="100" w:type="dxa"/>
              <w:bottom w:w="100" w:type="dxa"/>
              <w:right w:w="100" w:type="dxa"/>
            </w:tcMar>
            <w:vAlign w:val="center"/>
          </w:tcPr>
          <w:p w14:paraId="5FD4717F">
            <w:pPr>
              <w:jc w:val="center"/>
            </w:pPr>
            <w:r>
              <w:rPr>
                <w:rFonts w:ascii="宋体" w:hAnsi="宋体" w:eastAsia="宋体"/>
                <w:b w:val="0"/>
                <w:sz w:val="21"/>
              </w:rPr>
              <w:t>5</w:t>
            </w:r>
          </w:p>
        </w:tc>
        <w:tc>
          <w:tcPr>
            <w:tcW w:w="3043" w:type="dxa"/>
            <w:tcMar>
              <w:top w:w="100" w:type="dxa"/>
              <w:left w:w="100" w:type="dxa"/>
              <w:bottom w:w="100" w:type="dxa"/>
              <w:right w:w="100" w:type="dxa"/>
            </w:tcMar>
            <w:vAlign w:val="center"/>
          </w:tcPr>
          <w:p w14:paraId="58B0F905">
            <w:pPr>
              <w:jc w:val="center"/>
            </w:pPr>
            <w:r>
              <w:rPr>
                <w:rFonts w:ascii="宋体" w:hAnsi="宋体" w:eastAsia="宋体"/>
                <w:b w:val="0"/>
                <w:sz w:val="21"/>
              </w:rPr>
              <w:t>二倍转频幅值</w:t>
            </w:r>
          </w:p>
        </w:tc>
        <w:tc>
          <w:tcPr>
            <w:tcW w:w="3043" w:type="dxa"/>
            <w:tcMar>
              <w:top w:w="100" w:type="dxa"/>
              <w:left w:w="100" w:type="dxa"/>
              <w:bottom w:w="100" w:type="dxa"/>
              <w:right w:w="100" w:type="dxa"/>
            </w:tcMar>
            <w:vAlign w:val="center"/>
          </w:tcPr>
          <w:p w14:paraId="0315A2D1">
            <w:pPr>
              <w:jc w:val="center"/>
            </w:pPr>
            <w:r>
              <w:rPr>
                <w:rFonts w:ascii="宋体" w:hAnsi="宋体" w:eastAsia="宋体"/>
                <w:b w:val="0"/>
                <w:sz w:val="21"/>
              </w:rPr>
              <w:t>0.0489</w:t>
            </w:r>
          </w:p>
        </w:tc>
      </w:tr>
      <w:tr w14:paraId="53B928C0">
        <w:trPr>
          <w:jc w:val="center"/>
        </w:trPr>
        <w:tc>
          <w:tcPr>
            <w:tcW w:w="3043" w:type="dxa"/>
            <w:tcMar>
              <w:top w:w="100" w:type="dxa"/>
              <w:left w:w="100" w:type="dxa"/>
              <w:bottom w:w="100" w:type="dxa"/>
              <w:right w:w="100" w:type="dxa"/>
            </w:tcMar>
            <w:vAlign w:val="center"/>
          </w:tcPr>
          <w:p w14:paraId="1A36C112">
            <w:pPr>
              <w:jc w:val="center"/>
            </w:pPr>
            <w:r>
              <w:rPr>
                <w:rFonts w:ascii="宋体" w:hAnsi="宋体" w:eastAsia="宋体"/>
                <w:b w:val="0"/>
                <w:sz w:val="21"/>
              </w:rPr>
              <w:t>6</w:t>
            </w:r>
          </w:p>
        </w:tc>
        <w:tc>
          <w:tcPr>
            <w:tcW w:w="3043" w:type="dxa"/>
            <w:tcMar>
              <w:top w:w="100" w:type="dxa"/>
              <w:left w:w="100" w:type="dxa"/>
              <w:bottom w:w="100" w:type="dxa"/>
              <w:right w:w="100" w:type="dxa"/>
            </w:tcMar>
            <w:vAlign w:val="center"/>
          </w:tcPr>
          <w:p w14:paraId="65B443F1">
            <w:pPr>
              <w:jc w:val="center"/>
            </w:pPr>
            <w:r>
              <w:rPr>
                <w:rFonts w:ascii="宋体" w:hAnsi="宋体" w:eastAsia="宋体"/>
                <w:b w:val="0"/>
                <w:sz w:val="21"/>
              </w:rPr>
              <w:t>包络峭度</w:t>
            </w:r>
          </w:p>
        </w:tc>
        <w:tc>
          <w:tcPr>
            <w:tcW w:w="3043" w:type="dxa"/>
            <w:tcMar>
              <w:top w:w="100" w:type="dxa"/>
              <w:left w:w="100" w:type="dxa"/>
              <w:bottom w:w="100" w:type="dxa"/>
              <w:right w:w="100" w:type="dxa"/>
            </w:tcMar>
            <w:vAlign w:val="center"/>
          </w:tcPr>
          <w:p w14:paraId="36D1D8FE">
            <w:pPr>
              <w:jc w:val="center"/>
            </w:pPr>
            <w:r>
              <w:rPr>
                <w:rFonts w:ascii="宋体" w:hAnsi="宋体" w:eastAsia="宋体"/>
                <w:b w:val="0"/>
                <w:sz w:val="21"/>
              </w:rPr>
              <w:t>0.0480</w:t>
            </w:r>
          </w:p>
        </w:tc>
      </w:tr>
      <w:tr w14:paraId="019BCFBA">
        <w:trPr>
          <w:jc w:val="center"/>
        </w:trPr>
        <w:tc>
          <w:tcPr>
            <w:tcW w:w="3043" w:type="dxa"/>
            <w:tcMar>
              <w:top w:w="100" w:type="dxa"/>
              <w:left w:w="100" w:type="dxa"/>
              <w:bottom w:w="100" w:type="dxa"/>
              <w:right w:w="100" w:type="dxa"/>
            </w:tcMar>
            <w:vAlign w:val="center"/>
          </w:tcPr>
          <w:p w14:paraId="7D36CD31">
            <w:pPr>
              <w:jc w:val="center"/>
            </w:pPr>
            <w:r>
              <w:rPr>
                <w:rFonts w:ascii="宋体" w:hAnsi="宋体" w:eastAsia="宋体"/>
                <w:b w:val="0"/>
                <w:sz w:val="21"/>
              </w:rPr>
              <w:t>7</w:t>
            </w:r>
          </w:p>
        </w:tc>
        <w:tc>
          <w:tcPr>
            <w:tcW w:w="3043" w:type="dxa"/>
            <w:tcMar>
              <w:top w:w="100" w:type="dxa"/>
              <w:left w:w="100" w:type="dxa"/>
              <w:bottom w:w="100" w:type="dxa"/>
              <w:right w:w="100" w:type="dxa"/>
            </w:tcMar>
            <w:vAlign w:val="center"/>
          </w:tcPr>
          <w:p w14:paraId="38605C6E">
            <w:pPr>
              <w:jc w:val="center"/>
            </w:pPr>
            <w:r>
              <w:rPr>
                <w:rFonts w:ascii="宋体" w:hAnsi="宋体" w:eastAsia="宋体"/>
                <w:b w:val="0"/>
                <w:sz w:val="21"/>
              </w:rPr>
              <w:t>小波包节点1能量占比</w:t>
            </w:r>
          </w:p>
        </w:tc>
        <w:tc>
          <w:tcPr>
            <w:tcW w:w="3043" w:type="dxa"/>
            <w:tcMar>
              <w:top w:w="100" w:type="dxa"/>
              <w:left w:w="100" w:type="dxa"/>
              <w:bottom w:w="100" w:type="dxa"/>
              <w:right w:w="100" w:type="dxa"/>
            </w:tcMar>
            <w:vAlign w:val="center"/>
          </w:tcPr>
          <w:p w14:paraId="574D8BB5">
            <w:pPr>
              <w:jc w:val="center"/>
            </w:pPr>
            <w:r>
              <w:rPr>
                <w:rFonts w:ascii="宋体" w:hAnsi="宋体" w:eastAsia="宋体"/>
                <w:b w:val="0"/>
                <w:sz w:val="21"/>
              </w:rPr>
              <w:t>0.0449</w:t>
            </w:r>
          </w:p>
        </w:tc>
      </w:tr>
      <w:tr w14:paraId="2FF2AB94">
        <w:trPr>
          <w:jc w:val="center"/>
        </w:trPr>
        <w:tc>
          <w:tcPr>
            <w:tcW w:w="3043" w:type="dxa"/>
            <w:tcMar>
              <w:top w:w="100" w:type="dxa"/>
              <w:left w:w="100" w:type="dxa"/>
              <w:bottom w:w="100" w:type="dxa"/>
              <w:right w:w="100" w:type="dxa"/>
            </w:tcMar>
            <w:vAlign w:val="center"/>
          </w:tcPr>
          <w:p w14:paraId="4FB558DC">
            <w:pPr>
              <w:jc w:val="center"/>
            </w:pPr>
            <w:r>
              <w:rPr>
                <w:rFonts w:ascii="宋体" w:hAnsi="宋体" w:eastAsia="宋体"/>
                <w:b w:val="0"/>
                <w:sz w:val="21"/>
              </w:rPr>
              <w:t>8</w:t>
            </w:r>
          </w:p>
        </w:tc>
        <w:tc>
          <w:tcPr>
            <w:tcW w:w="3043" w:type="dxa"/>
            <w:tcMar>
              <w:top w:w="100" w:type="dxa"/>
              <w:left w:w="100" w:type="dxa"/>
              <w:bottom w:w="100" w:type="dxa"/>
              <w:right w:w="100" w:type="dxa"/>
            </w:tcMar>
            <w:vAlign w:val="center"/>
          </w:tcPr>
          <w:p w14:paraId="069DE565">
            <w:pPr>
              <w:jc w:val="center"/>
            </w:pPr>
            <w:r>
              <w:rPr>
                <w:rFonts w:ascii="宋体" w:hAnsi="宋体" w:eastAsia="宋体"/>
                <w:b w:val="0"/>
                <w:sz w:val="21"/>
              </w:rPr>
              <w:t>一倍转频邻域能量</w:t>
            </w:r>
          </w:p>
        </w:tc>
        <w:tc>
          <w:tcPr>
            <w:tcW w:w="3043" w:type="dxa"/>
            <w:tcMar>
              <w:top w:w="100" w:type="dxa"/>
              <w:left w:w="100" w:type="dxa"/>
              <w:bottom w:w="100" w:type="dxa"/>
              <w:right w:w="100" w:type="dxa"/>
            </w:tcMar>
            <w:vAlign w:val="center"/>
          </w:tcPr>
          <w:p w14:paraId="27F014B4">
            <w:pPr>
              <w:jc w:val="center"/>
            </w:pPr>
            <w:r>
              <w:rPr>
                <w:rFonts w:ascii="宋体" w:hAnsi="宋体" w:eastAsia="宋体"/>
                <w:b w:val="0"/>
                <w:sz w:val="21"/>
              </w:rPr>
              <w:t>0.0428</w:t>
            </w:r>
          </w:p>
        </w:tc>
      </w:tr>
      <w:tr w14:paraId="67D28ED7">
        <w:trPr>
          <w:jc w:val="center"/>
        </w:trPr>
        <w:tc>
          <w:tcPr>
            <w:tcW w:w="3043" w:type="dxa"/>
            <w:tcMar>
              <w:top w:w="100" w:type="dxa"/>
              <w:left w:w="100" w:type="dxa"/>
              <w:bottom w:w="100" w:type="dxa"/>
              <w:right w:w="100" w:type="dxa"/>
            </w:tcMar>
            <w:vAlign w:val="center"/>
          </w:tcPr>
          <w:p w14:paraId="5630C523">
            <w:pPr>
              <w:jc w:val="center"/>
            </w:pPr>
            <w:r>
              <w:rPr>
                <w:rFonts w:ascii="宋体" w:hAnsi="宋体" w:eastAsia="宋体"/>
                <w:b w:val="0"/>
                <w:sz w:val="21"/>
              </w:rPr>
              <w:t>9</w:t>
            </w:r>
          </w:p>
        </w:tc>
        <w:tc>
          <w:tcPr>
            <w:tcW w:w="3043" w:type="dxa"/>
            <w:tcMar>
              <w:top w:w="100" w:type="dxa"/>
              <w:left w:w="100" w:type="dxa"/>
              <w:bottom w:w="100" w:type="dxa"/>
              <w:right w:w="100" w:type="dxa"/>
            </w:tcMar>
            <w:vAlign w:val="center"/>
          </w:tcPr>
          <w:p w14:paraId="331AC3B2">
            <w:pPr>
              <w:jc w:val="center"/>
            </w:pPr>
            <w:r>
              <w:rPr>
                <w:rFonts w:ascii="宋体" w:hAnsi="宋体" w:eastAsia="宋体"/>
                <w:b w:val="0"/>
                <w:sz w:val="21"/>
              </w:rPr>
              <w:t>包络峰值因子</w:t>
            </w:r>
          </w:p>
        </w:tc>
        <w:tc>
          <w:tcPr>
            <w:tcW w:w="3043" w:type="dxa"/>
            <w:tcMar>
              <w:top w:w="100" w:type="dxa"/>
              <w:left w:w="100" w:type="dxa"/>
              <w:bottom w:w="100" w:type="dxa"/>
              <w:right w:w="100" w:type="dxa"/>
            </w:tcMar>
            <w:vAlign w:val="center"/>
          </w:tcPr>
          <w:p w14:paraId="5B8CBDDC">
            <w:pPr>
              <w:jc w:val="center"/>
            </w:pPr>
            <w:r>
              <w:rPr>
                <w:rFonts w:ascii="宋体" w:hAnsi="宋体" w:eastAsia="宋体"/>
                <w:b w:val="0"/>
                <w:sz w:val="21"/>
              </w:rPr>
              <w:t>0.0419</w:t>
            </w:r>
          </w:p>
        </w:tc>
      </w:tr>
      <w:tr w14:paraId="4162FB45">
        <w:trPr>
          <w:jc w:val="center"/>
        </w:trPr>
        <w:tc>
          <w:tcPr>
            <w:tcW w:w="3043" w:type="dxa"/>
            <w:tcMar>
              <w:top w:w="100" w:type="dxa"/>
              <w:left w:w="100" w:type="dxa"/>
              <w:bottom w:w="100" w:type="dxa"/>
              <w:right w:w="100" w:type="dxa"/>
            </w:tcMar>
            <w:vAlign w:val="center"/>
          </w:tcPr>
          <w:p w14:paraId="20104998">
            <w:pPr>
              <w:jc w:val="center"/>
            </w:pPr>
            <w:r>
              <w:rPr>
                <w:rFonts w:ascii="宋体" w:hAnsi="宋体" w:eastAsia="宋体"/>
                <w:b w:val="0"/>
                <w:sz w:val="21"/>
              </w:rPr>
              <w:t>10</w:t>
            </w:r>
          </w:p>
        </w:tc>
        <w:tc>
          <w:tcPr>
            <w:tcW w:w="3043" w:type="dxa"/>
            <w:tcMar>
              <w:top w:w="100" w:type="dxa"/>
              <w:left w:w="100" w:type="dxa"/>
              <w:bottom w:w="100" w:type="dxa"/>
              <w:right w:w="100" w:type="dxa"/>
            </w:tcMar>
            <w:vAlign w:val="center"/>
          </w:tcPr>
          <w:p w14:paraId="2C0659D6">
            <w:pPr>
              <w:jc w:val="center"/>
            </w:pPr>
            <w:r>
              <w:rPr>
                <w:rFonts w:ascii="宋体" w:hAnsi="宋体" w:eastAsia="宋体"/>
                <w:b w:val="0"/>
                <w:sz w:val="21"/>
              </w:rPr>
              <w:t>三倍转频邻域能量</w:t>
            </w:r>
          </w:p>
        </w:tc>
        <w:tc>
          <w:tcPr>
            <w:tcW w:w="3043" w:type="dxa"/>
            <w:tcMar>
              <w:top w:w="100" w:type="dxa"/>
              <w:left w:w="100" w:type="dxa"/>
              <w:bottom w:w="100" w:type="dxa"/>
              <w:right w:w="100" w:type="dxa"/>
            </w:tcMar>
            <w:vAlign w:val="center"/>
          </w:tcPr>
          <w:p w14:paraId="30BABFBC">
            <w:pPr>
              <w:jc w:val="center"/>
            </w:pPr>
            <w:r>
              <w:rPr>
                <w:rFonts w:ascii="宋体" w:hAnsi="宋体" w:eastAsia="宋体"/>
                <w:b w:val="0"/>
                <w:sz w:val="21"/>
              </w:rPr>
              <w:t>0.0404</w:t>
            </w:r>
          </w:p>
        </w:tc>
      </w:tr>
    </w:tbl>
    <w:p w14:paraId="59C4022C">
      <w:pPr>
        <w:jc w:val="center"/>
        <w:rPr>
          <w:b/>
        </w:rPr>
      </w:pPr>
    </w:p>
    <w:p w14:paraId="0126555A">
      <w:pPr>
        <w:jc w:val="center"/>
      </w:pPr>
      <w:r>
        <w:rPr>
          <w:b/>
        </w:rPr>
        <w:t>图 4-8 随机森林前十个特征重要性</w:t>
      </w:r>
    </w:p>
    <w:p w14:paraId="2F7FE2BC">
      <w:pPr>
        <w:jc w:val="center"/>
      </w:pPr>
      <w:r>
        <w:drawing>
          <wp:inline distT="0" distB="0" distL="114300" distR="114300">
            <wp:extent cx="5303520" cy="3615690"/>
            <wp:effectExtent l="0" t="0" r="5080"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303520" cy="3616036"/>
                    </a:xfrm>
                    <a:prstGeom prst="rect">
                      <a:avLst/>
                    </a:prstGeom>
                  </pic:spPr>
                </pic:pic>
              </a:graphicData>
            </a:graphic>
          </wp:inline>
        </w:drawing>
      </w:r>
    </w:p>
    <w:p w14:paraId="44AE7D46">
      <w:pPr>
        <w:ind w:firstLine="420" w:firstLineChars="200"/>
        <w:rPr>
          <w:sz w:val="24"/>
          <w:szCs w:val="24"/>
        </w:rPr>
      </w:pPr>
      <w:r>
        <w:rPr>
          <w:rFonts w:ascii="宋体" w:hAnsi="宋体" w:eastAsia="宋体"/>
          <w:sz w:val="21"/>
        </w:rPr>
        <w:t>从结果看，均方根值、1X 转频幅值、小波包能量占比和包络谱特征排名靠前，说明模型同时利用了整体振动强度、转频周期成分、非平稳频带能量分布以及冲击调制信息。均方根值反映整体振动强度，1X 幅值和邻域能量与不平衡、不对中等轴系故障密切相关，小波包能量占比则补充了普通 FFT 对非平稳信号表征不足的问题。</w:t>
      </w:r>
    </w:p>
    <w:p w14:paraId="473432C0">
      <w:pPr>
        <w:ind w:firstLine="480" w:firstLineChars="200"/>
        <w:rPr>
          <w:sz w:val="24"/>
          <w:szCs w:val="24"/>
        </w:rPr>
      </w:pPr>
      <w:r>
        <w:t>包络峭度和包络峰值因子进入前十重要特征，说明解调后包络信号的冲击形态对轴承故障和松动识别具有一定贡献。其他包络谱能量及倍频特征虽未进入前十，但参与了最终 25 维特征集合，能够从低频调制和转频邻域角度补充模型输入。</w:t>
      </w:r>
    </w:p>
    <w:p w14:paraId="05CDD4A2">
      <w:pPr>
        <w:ind w:firstLine="420" w:firstLineChars="200"/>
        <w:rPr>
          <w:sz w:val="24"/>
          <w:szCs w:val="24"/>
        </w:rPr>
      </w:pPr>
      <w:r>
        <w:rPr>
          <w:rFonts w:ascii="宋体" w:hAnsi="宋体" w:eastAsia="宋体"/>
          <w:sz w:val="21"/>
        </w:rPr>
        <w:t>总体来看，特征重要性结果与第 2 章故障机理分析基本一致：转频相关特征支撑不平衡和不对中识别，冲击类特征支撑松动和轴承故障识别，小波包与包络谱特征增强了对非平稳冲击和频带能量变化的表达能力，验证了本文多维特征构建的合理性。</w:t>
      </w:r>
    </w:p>
    <w:p w14:paraId="33F68C57">
      <w:pPr>
        <w:pStyle w:val="4"/>
      </w:pPr>
      <w:r>
        <w:rPr>
          <w:rFonts w:ascii="宋体" w:hAnsi="宋体" w:eastAsia="宋体"/>
          <w:sz w:val="22"/>
        </w:rPr>
        <w:t>4.9 本章小结与实验局限性分析</w:t>
      </w:r>
    </w:p>
    <w:p w14:paraId="291B92A8">
      <w:pPr>
        <w:ind w:firstLine="480" w:firstLineChars="200"/>
        <w:rPr>
          <w:sz w:val="24"/>
          <w:szCs w:val="24"/>
        </w:rPr>
      </w:pPr>
      <w:r>
        <w:t>综合第 4 章实验结果可以看出，基于时域、频域、小波包和包络谱的 25 个关键特征能够较好表征水泵 6 类典型故障状态。三类模型中，随机森林和 BP 神经网络均取得较高识别效果：随机森林总体准确率略高，BP 神经网络在平衡准确率和宏平均 F1 方面略高。考虑到随机森林训练稳定、无需特征标准化且能够输出特征重要性，本文将其作为后续诊断系统原型中的主要分类模型；BP 神经网络作为承接前期研究的神经网络对比方法，RBF-SVM 作为核函数机器学习对比方法。</w:t>
      </w:r>
    </w:p>
    <w:p w14:paraId="42831293">
      <w:pPr>
        <w:rPr>
          <w:sz w:val="24"/>
          <w:szCs w:val="24"/>
        </w:rPr>
      </w:pPr>
      <w:r>
        <w:t>需要说明的是，本文第 4 章实验主要基于公开数据集完成，其作用是验证数据预处理、特征提取、模型训练和结果分析流程的可行性。由于公开数据中不同设备和工况所包含的故障类别不完全一致，难以直接开展完整六分类的跨设备验证。此外，部分故障类别与设备来源存在关联，尽管模型输入中已排除设备编号、转速和文件名称等元数据，但振动特征仍可能包含设备结构及运行工况信息，因此当前分类结果可能同时受到故障差异和设备差异影响。本文将公开数据实验定位为算法预验证，后续主要通过实验室独立采集数据开展外部验证，以检验特征提取方法和诊断模型在新设备、新工况条件下的适用性。</w:t>
      </w:r>
    </w:p>
    <w:p w14:paraId="25B8ADD7">
      <w:pPr>
        <w:ind w:firstLine="480" w:firstLineChars="200"/>
        <w:rPr>
          <w:sz w:val="24"/>
          <w:szCs w:val="24"/>
        </w:rPr>
      </w:pPr>
      <w:r>
        <w:t>同时，本文采用 4096 点窗口和 2048 点步长构建滑动窗口样本，相邻窗口之间存在一定重叠。如果训练集和测试集采用随机划分，相邻片段可能分别进入训练集和测试集，使测试结果高于完全独立工况下的泛化性能。因此，本文不将当前结果表述为工程泛化能力结论，而是将其作为同源公开数据条件下的算法预验证结果。</w:t>
      </w:r>
    </w:p>
    <w:p w14:paraId="76483FB6">
      <w:pPr>
        <w:ind w:firstLine="480" w:firstLineChars="200"/>
        <w:rPr>
          <w:sz w:val="24"/>
          <w:szCs w:val="24"/>
        </w:rPr>
      </w:pPr>
      <w:r>
        <w:rPr>
          <w:rFonts w:ascii="宋体" w:hAnsi="宋体" w:eastAsia="宋体"/>
          <w:sz w:val="24"/>
          <w:szCs w:val="24"/>
        </w:rPr>
        <w:t>后续实验室采集数据可作为本文方法的外部验证数据。具体可在正常、不平衡、不对中、松动、轴承故障和汽蚀等状态下采集振动信号，并保持传感器安装位置、采样频率、采样时长和运行工况记录一致。通过公开数据集训练或预训练模型，再使用实验室数据进行验证和修正，能够更好体现专业硕士论文的工程应用属性。</w:t>
      </w:r>
    </w:p>
    <w:p w14:paraId="4B5D7097">
      <w:pPr>
        <w:ind w:firstLine="480" w:firstLineChars="200"/>
      </w:pPr>
      <w:r>
        <w:rPr>
          <w:rFonts w:ascii="宋体" w:hAnsi="宋体" w:eastAsia="宋体"/>
          <w:sz w:val="24"/>
          <w:szCs w:val="24"/>
        </w:rPr>
        <w:t>从工程系统角度看，诊断结果也不宜只依赖单个片段的分类标签。后续诊断软件或诊断仪原型应结合多片段多数投票、平均置信度、连续异常片段比例和报警阈值等策略，提高诊断结论的稳定性和可解释性。</w:t>
      </w:r>
      <w:bookmarkStart w:id="0" w:name="_GoBack"/>
      <w:bookmarkEnd w:id="0"/>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ShuS-SC">
    <w:panose1 w:val="0201060003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STHeiti">
    <w:panose1 w:val="02010600040101010101"/>
    <w:charset w:val="86"/>
    <w:family w:val="auto"/>
    <w:pitch w:val="default"/>
    <w:sig w:usb0="00000287" w:usb1="080F0000" w:usb2="00000000"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F9155B"/>
    <w:rsid w:val="57FFF2E0"/>
    <w:rsid w:val="63D2D5AC"/>
    <w:rsid w:val="75B91208"/>
    <w:rsid w:val="A6FF7D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宋体" w:hAnsi="宋体" w:eastAsia="ShuS-SC" w:cstheme="minorBidi"/>
      <w:sz w:val="24"/>
      <w:szCs w:val="22"/>
      <w:lang w:val="en-US" w:eastAsia="en-US" w:bidi="ar-SA"/>
    </w:rPr>
  </w:style>
  <w:style w:type="paragraph" w:styleId="3">
    <w:name w:val="heading 1"/>
    <w:basedOn w:val="1"/>
    <w:next w:val="1"/>
    <w:link w:val="139"/>
    <w:qFormat/>
    <w:uiPriority w:val="9"/>
    <w:pPr>
      <w:keepNext/>
      <w:keepLines/>
      <w:spacing w:before="360" w:after="200"/>
      <w:outlineLvl w:val="0"/>
    </w:pPr>
    <w:rPr>
      <w:rFonts w:eastAsia="STHeiti" w:asciiTheme="majorAscii" w:hAnsiTheme="majorAscii" w:cstheme="majorBidi"/>
      <w:b/>
      <w:bCs/>
      <w:color w:val="000000" w:themeColor="text1"/>
      <w:sz w:val="36"/>
      <w:szCs w:val="28"/>
      <w14:textFill>
        <w14:solidFill>
          <w14:schemeClr w14:val="tx1"/>
        </w14:solidFill>
      </w14:textFill>
    </w:rPr>
  </w:style>
  <w:style w:type="paragraph" w:styleId="4">
    <w:name w:val="heading 2"/>
    <w:basedOn w:val="1"/>
    <w:next w:val="1"/>
    <w:link w:val="140"/>
    <w:unhideWhenUsed/>
    <w:qFormat/>
    <w:uiPriority w:val="9"/>
    <w:pPr>
      <w:keepNext/>
      <w:keepLines/>
      <w:spacing w:before="240" w:after="140"/>
      <w:outlineLvl w:val="1"/>
    </w:pPr>
    <w:rPr>
      <w:rFonts w:asciiTheme="majorHAnsi" w:hAnsiTheme="majorHAnsi" w:eastAsiaTheme="majorEastAsia" w:cstheme="majorBidi"/>
      <w:b/>
      <w:bCs/>
      <w:color w:val="2E74B5"/>
      <w:sz w:val="28"/>
      <w:szCs w:val="26"/>
    </w:rPr>
  </w:style>
  <w:style w:type="paragraph" w:styleId="5">
    <w:name w:val="heading 3"/>
    <w:basedOn w:val="1"/>
    <w:next w:val="1"/>
    <w:link w:val="141"/>
    <w:unhideWhenUsed/>
    <w:qFormat/>
    <w:uiPriority w:val="9"/>
    <w:pPr>
      <w:keepNext/>
      <w:keepLines/>
      <w:spacing w:before="160" w:after="100"/>
      <w:outlineLvl w:val="2"/>
    </w:pPr>
    <w:rPr>
      <w:rFonts w:asciiTheme="majorHAnsi" w:hAnsiTheme="majorHAnsi" w:eastAsiaTheme="majorEastAsia" w:cstheme="majorBidi"/>
      <w:b/>
      <w:bCs/>
      <w:color w:val="1F4E79"/>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eastAsia="STHeiti" w:asciiTheme="majorAscii" w:hAnsiTheme="majorAscii" w:cstheme="majorBidi"/>
      <w:b/>
      <w:bCs/>
      <w:color w:val="000000" w:themeColor="text1"/>
      <w:sz w:val="36"/>
      <w:szCs w:val="28"/>
      <w14:textFill>
        <w14:solidFill>
          <w14:schemeClr w14:val="tx1"/>
        </w14:solidFill>
      </w14:textFill>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TotalTime>
  <ScaleCrop>false</ScaleCrop>
  <LinksUpToDate>false</LinksUpToDate>
  <CharactersWithSpaces>0</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何雯豪</cp:lastModifiedBy>
  <dcterms:modified xsi:type="dcterms:W3CDTF">2026-06-20T17:45:44Z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314B6E172AE635B23C50316A432CA8DB_42</vt:lpwstr>
  </property>
</Properties>
</file>