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NGenomeSyn 图形界面使用手册</w:t>
      </w:r>
    </w:p>
    <w:p>
      <w:r>
        <w:t>GUI 版本: 1.50B    |    引擎版本: NGenomeSyn 1.50 (hewm2008)</w:t>
      </w:r>
    </w:p>
    <w:p>
      <w:pPr>
        <w:pStyle w:val="Heading2"/>
      </w:pPr>
      <w:r>
        <w:t>1. 界面总览</w:t>
      </w:r>
    </w:p>
    <w:p>
      <w:r>
        <w:t>图形界面为三栏工作台：左侧管理数据文件（基因组 .len 与链接 .link 两个列表），中间为实时 SVG 预览（滚轮缩放、拖拽平移，可导出 PNG/PDF），右侧为参数页签（全局参数 · GenomeALL · Genome 1..N · LinkALL · Link 1..N · 参数总览）。底部为运行日志。</w:t>
      </w:r>
    </w:p>
    <w:p>
      <w:r>
        <w:t>所有参数均带引擎真实默认值、取值范围与中英双语说明（悬停可见）；打开已有 conf 时自动翻译历史错拼键名并在日志中列出改写清单。</w:t>
      </w:r>
    </w:p>
    <w:p>
      <w:r>
        <w:drawing>
          <wp:inline xmlns:a="http://schemas.openxmlformats.org/drawingml/2006/main" xmlns:pic="http://schemas.openxmlformats.org/drawingml/2006/picture">
            <wp:extent cx="5760720" cy="294582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UI_Hom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458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</w:rPr>
        <w:t>主界面：左=数据文件与预览，中=实时预览，右=参数页签</w:t>
      </w:r>
    </w:p>
    <w:p>
      <w:pPr>
        <w:pStyle w:val="Heading2"/>
      </w:pPr>
      <w:r>
        <w:t>2. 快速开始</w:t>
      </w:r>
    </w:p>
    <w:p>
      <w:pPr>
        <w:pStyle w:val="ListBullet"/>
      </w:pPr>
      <w:r>
        <w:t>1. 在左侧「基因组文件」面板添加至少 2 个 .len 文件（顺序即图中顺序，支持 .gz）。</w:t>
      </w:r>
    </w:p>
    <w:p>
      <w:pPr>
        <w:pStyle w:val="ListBullet"/>
      </w:pPr>
      <w:r>
        <w:t>2. 在「链接文件」面板添加 .link 文件，并用 A:/B: 选框指定该链接连接的两个基因组编号。</w:t>
      </w:r>
    </w:p>
    <w:p>
      <w:pPr>
        <w:pStyle w:val="ListBullet"/>
      </w:pPr>
      <w:r>
        <w:t>3. （可选）在右侧参数页签调整画布、染色体样式、坐标轴、链接样式与调色板。</w:t>
      </w:r>
    </w:p>
    <w:p>
      <w:pPr>
        <w:pStyle w:val="ListBullet"/>
      </w:pPr>
      <w:r>
        <w:t>4. 点击「运行绘图」或按 F5；打开「自动刷新」后参数一改即自动重画。</w:t>
      </w:r>
    </w:p>
    <w:p>
      <w:pPr>
        <w:pStyle w:val="ListBullet"/>
      </w:pPr>
      <w:r>
        <w:t>5. 用预览下方的按钮导出 SVG / PNG / PDF。</w:t>
      </w:r>
    </w:p>
    <w:p>
      <w:pPr>
        <w:pStyle w:val="Heading2"/>
      </w:pPr>
      <w:r>
        <w:t>3. 数据格式与路径</w:t>
      </w:r>
    </w:p>
    <w:p>
      <w:r>
        <w:drawing>
          <wp:inline xmlns:a="http://schemas.openxmlformats.org/drawingml/2006/main" xmlns:pic="http://schemas.openxmlformats.org/drawingml/2006/picture">
            <wp:extent cx="4095750" cy="620077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UI_Data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95750" cy="62007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</w:rPr>
        <w:t>左栏细节：上下两个文件列表（基因组 / 链接），点击任一行即可预览该文件的前 8 行，选中态两栏同步</w:t>
      </w:r>
    </w:p>
    <w:p>
      <w:pPr>
        <w:pStyle w:val="Heading3"/>
      </w:pPr>
      <w:r>
        <w:t>基因组文件 GenomeInfoFileN（.len）</w:t>
      </w:r>
    </w:p>
    <w:p>
      <w:r>
        <w:rPr>
          <w:rFonts w:ascii="Consolas" w:hAnsi="Consolas"/>
          <w:sz w:val="18"/>
        </w:rPr>
        <w:t>Chr1  1  230000</w:t>
        <w:br/>
        <w:t>Chr2  1  190000   fill=red stroke-width=0</w:t>
      </w:r>
    </w:p>
    <w:p>
      <w:pPr>
        <w:pStyle w:val="ListBullet"/>
      </w:pPr>
      <w:r>
        <w:t>空白分隔，至少 3 列：染色体 起点 终点 [属性…]；行顺序即图中顺序。</w:t>
      </w:r>
    </w:p>
    <w:p>
      <w:pPr>
        <w:pStyle w:val="ListBullet"/>
      </w:pPr>
      <w:r>
        <w:t>若一行写为「终点 起点」则该染色体反向互补显示。</w:t>
      </w:r>
    </w:p>
    <w:p>
      <w:pPr>
        <w:pStyle w:val="ListBullet"/>
      </w:pPr>
      <w:r>
        <w:t>编号必须从 1 开始且连续（GenomeInfoFile1、GenomeInfoFile2 …）。</w:t>
      </w:r>
    </w:p>
    <w:p>
      <w:pPr>
        <w:pStyle w:val="ListBullet"/>
      </w:pPr>
      <w:r>
        <w:t>引擎要求：Start 与 End 不能同时 &gt; 1（GUI 会提前检查）。</w:t>
      </w:r>
    </w:p>
    <w:p>
      <w:pPr>
        <w:pStyle w:val="Heading3"/>
      </w:pPr>
      <w:r>
        <w:t>链接文件 LinkFileRefA VsRefB（.link）</w:t>
      </w:r>
    </w:p>
    <w:p>
      <w:r>
        <w:rPr>
          <w:rFonts w:ascii="Consolas" w:hAnsi="Consolas"/>
          <w:sz w:val="18"/>
        </w:rPr>
        <w:t>Chr1  1000  50000  Chr1  900  49500</w:t>
        <w:br/>
        <w:t>Chr1  60000  120000  Chr2  1000  61000</w:t>
      </w:r>
    </w:p>
    <w:p>
      <w:pPr>
        <w:pStyle w:val="ListBullet"/>
      </w:pPr>
      <w:r>
        <w:t>空白分隔，至少 6 列：chrA 起A 终A chrB 起B 终B [属性…]。</w:t>
      </w:r>
    </w:p>
    <w:p>
      <w:pPr>
        <w:pStyle w:val="ListBullet"/>
      </w:pPr>
      <w:r>
        <w:t>conf 中该行出现的先后顺序决定 Link1、Link2 … 的编号。</w:t>
      </w:r>
    </w:p>
    <w:p>
      <w:pPr>
        <w:pStyle w:val="Heading3"/>
      </w:pPr>
      <w:r>
        <w:t>路径与 .gz</w:t>
      </w:r>
    </w:p>
    <w:p>
      <w:pPr>
        <w:pStyle w:val="ListBullet"/>
      </w:pPr>
      <w:r>
        <w:t>conf 中的相对路径以 conf 文件所在目录为基准（GUI 会自动写为绝对路径）。</w:t>
      </w:r>
    </w:p>
    <w:p>
      <w:pPr>
        <w:pStyle w:val="ListBullet"/>
      </w:pPr>
      <w:r>
        <w:t>.gz 输入由 GUI 预先解压后交给引擎，不再依赖系统 gzip，且保留原文件名推导的基因组默认名。</w:t>
      </w:r>
    </w:p>
    <w:p>
      <w:pPr>
        <w:pStyle w:val="Heading2"/>
      </w:pPr>
      <w:r>
        <w:t>4. 特殊区域与放大</w:t>
      </w:r>
    </w:p>
    <w:p>
      <w:pPr>
        <w:pStyle w:val="ListBullet"/>
      </w:pPr>
      <w:r>
        <w:t>ZoomRegion=chr:start:end（如 Chr6:12914310:18879240）只显示该区间，区间必须落在该染色体范围内。</w:t>
      </w:r>
    </w:p>
    <w:p>
      <w:pPr>
        <w:pStyle w:val="ListBullet"/>
      </w:pPr>
      <w:r>
        <w:t>SpeRegionFile 指向的区域文件每行为 chr start end [属性]，可用 SN=文字 添加标注文字；第 4 列写 CDS/UTR/mRNA 关键字可获得预置样式。</w:t>
      </w:r>
    </w:p>
    <w:p>
      <w:pPr>
        <w:pStyle w:val="Heading2"/>
      </w:pPr>
      <w:r>
        <w:t>5. 参数参考</w:t>
      </w:r>
    </w:p>
    <w:p>
      <w:r>
        <w:t>以下参数由 schema 自动生成，与 GUI 显示一致；「legacy」为可被自动改写的历史拼写。</w:t>
      </w:r>
    </w:p>
    <w:p>
      <w:pPr>
        <w:pStyle w:val="Heading3"/>
      </w:pPr>
      <w:r>
        <w:t>画布与字体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参数</w:t>
            </w:r>
          </w:p>
        </w:tc>
        <w:tc>
          <w:tcPr>
            <w:tcW w:type="dxa" w:w="2160"/>
          </w:tcPr>
          <w:p>
            <w:r>
              <w:t>类型</w:t>
            </w:r>
          </w:p>
        </w:tc>
        <w:tc>
          <w:tcPr>
            <w:tcW w:type="dxa" w:w="2160"/>
          </w:tcPr>
          <w:p>
            <w:r>
              <w:t>默认值</w:t>
            </w:r>
          </w:p>
        </w:tc>
        <w:tc>
          <w:tcPr>
            <w:tcW w:type="dxa" w:w="2160"/>
          </w:tcPr>
          <w:p>
            <w:r>
              <w:t>说明</w:t>
            </w:r>
          </w:p>
        </w:tc>
      </w:tr>
      <w:tr>
        <w:tc>
          <w:tcPr>
            <w:tcW w:type="dxa" w:w="2160"/>
          </w:tcPr>
          <w:p>
            <w:r>
              <w:t>body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>
              <w:t>1200</w:t>
            </w:r>
          </w:p>
        </w:tc>
        <w:tc>
          <w:tcPr>
            <w:tcW w:type="dxa" w:w="2160"/>
          </w:tcPr>
          <w:p>
            <w:r>
              <w:t>主绘图区宽度(px)。总画布宽 = left+body+right。</w:t>
            </w:r>
          </w:p>
        </w:tc>
      </w:tr>
      <w:tr>
        <w:tc>
          <w:tcPr>
            <w:tcW w:type="dxa" w:w="2160"/>
          </w:tcPr>
          <w:p>
            <w:r>
              <w:t>up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>
              <w:t>55</w:t>
            </w:r>
          </w:p>
        </w:tc>
        <w:tc>
          <w:tcPr>
            <w:tcW w:type="dxa" w:w="2160"/>
          </w:tcPr>
          <w:p>
            <w:r>
              <w:t>画布上边距(px)，主标题基线与 up/2 相关。</w:t>
            </w:r>
          </w:p>
        </w:tc>
      </w:tr>
      <w:tr>
        <w:tc>
          <w:tcPr>
            <w:tcW w:type="dxa" w:w="2160"/>
          </w:tcPr>
          <w:p>
            <w:r>
              <w:t>down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>
              <w:t>25</w:t>
            </w:r>
          </w:p>
        </w:tc>
        <w:tc>
          <w:tcPr>
            <w:tcW w:type="dxa" w:w="2160"/>
          </w:tcPr>
          <w:p>
            <w:r>
              <w:t>画布下边距(px)。</w:t>
            </w:r>
          </w:p>
        </w:tc>
      </w:tr>
      <w:tr>
        <w:tc>
          <w:tcPr>
            <w:tcW w:type="dxa" w:w="2160"/>
          </w:tcPr>
          <w:p>
            <w:r>
              <w:t>left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>
              <w:t>100</w:t>
            </w:r>
          </w:p>
        </w:tc>
        <w:tc>
          <w:tcPr>
            <w:tcW w:type="dxa" w:w="2160"/>
          </w:tcPr>
          <w:p>
            <w:r>
              <w:t>画布左边距(px)，也参与主标题水平居中。</w:t>
            </w:r>
          </w:p>
        </w:tc>
      </w:tr>
      <w:tr>
        <w:tc>
          <w:tcPr>
            <w:tcW w:type="dxa" w:w="2160"/>
          </w:tcPr>
          <w:p>
            <w:r>
              <w:t>right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>
              <w:t>120</w:t>
            </w:r>
          </w:p>
        </w:tc>
        <w:tc>
          <w:tcPr>
            <w:tcW w:type="dxa" w:w="2160"/>
          </w:tcPr>
          <w:p>
            <w:r>
              <w:t>画布右边距(px)，是各基因组 X 坐标的基准。</w:t>
            </w:r>
          </w:p>
        </w:tc>
      </w:tr>
      <w:tr>
        <w:tc>
          <w:tcPr>
            <w:tcW w:type="dxa" w:w="2160"/>
          </w:tcPr>
          <w:p>
            <w:r>
              <w:t>font-size</w:t>
            </w:r>
          </w:p>
        </w:tc>
        <w:tc>
          <w:tcPr>
            <w:tcW w:type="dxa" w:w="2160"/>
          </w:tcPr>
          <w:p>
            <w:r>
              <w:t>float</w:t>
            </w:r>
          </w:p>
        </w:tc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全局基础字号。染色体名=×1.2，坐标标签=×1.0，主标题=×1.2，基因组名=×1.4。</w:t>
            </w:r>
          </w:p>
        </w:tc>
      </w:tr>
      <w:tr>
        <w:tc>
          <w:tcPr>
            <w:tcW w:type="dxa" w:w="2160"/>
          </w:tcPr>
          <w:p>
            <w:r>
              <w:t>font-family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>
              <w:t>Arial</w:t>
            </w:r>
          </w:p>
        </w:tc>
        <w:tc>
          <w:tcPr>
            <w:tcW w:type="dxa" w:w="2160"/>
          </w:tcPr>
          <w:p>
            <w:r>
              <w:t>全部文字的字体，原样传给 SVG（如 Arial / Times New Roman）。</w:t>
            </w:r>
          </w:p>
        </w:tc>
      </w:tr>
      <w:tr>
        <w:tc>
          <w:tcPr>
            <w:tcW w:type="dxa" w:w="2160"/>
          </w:tcPr>
          <w:p>
            <w:r>
              <w:t>CanvasHeightRitao</w:t>
            </w:r>
          </w:p>
        </w:tc>
        <w:tc>
          <w:tcPr>
            <w:tcW w:type="dxa" w:w="2160"/>
          </w:tcPr>
          <w:p>
            <w:r>
              <w:t>float</w:t>
            </w:r>
          </w:p>
        </w:tc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整体高度缩放系数。注意引擎要求 &gt;0.1，否则该参数被静默忽略（拼写 Ritao 是引擎历史拼写，必须照写）。</w:t>
            </w:r>
          </w:p>
        </w:tc>
      </w:tr>
      <w:tr>
        <w:tc>
          <w:tcPr>
            <w:tcW w:type="dxa" w:w="2160"/>
          </w:tcPr>
          <w:p>
            <w:r>
              <w:t>CanvasWidthRitao</w:t>
            </w:r>
          </w:p>
        </w:tc>
        <w:tc>
          <w:tcPr>
            <w:tcW w:type="dxa" w:w="2160"/>
          </w:tcPr>
          <w:p>
            <w:r>
              <w:t>float</w:t>
            </w:r>
          </w:p>
        </w:tc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整体宽度缩放系数，同样要求 &gt;0.1。</w:t>
            </w:r>
          </w:p>
        </w:tc>
      </w:tr>
      <w:tr>
        <w:tc>
          <w:tcPr>
            <w:tcW w:type="dxa" w:w="2160"/>
          </w:tcPr>
          <w:p>
            <w:r>
              <w:t>RotatePng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仅对导出的 PNG 生效（convert -rotate），不改 SVG。</w:t>
            </w:r>
          </w:p>
        </w:tc>
      </w:tr>
      <w:tr>
        <w:tc>
          <w:tcPr>
            <w:tcW w:type="dxa" w:w="2160"/>
          </w:tcPr>
          <w:p>
            <w:r>
              <w:t>NoPng</w:t>
            </w:r>
          </w:p>
        </w:tc>
        <w:tc>
          <w:tcPr>
            <w:tcW w:type="dxa" w:w="2160"/>
          </w:tcPr>
          <w:p>
            <w:r>
              <w:t>bool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只要该键存在即不生成 PNG（写 0 也会生效）。GUI 预览渲染始终自带 PNG/PDF 导出，无需此项。</w:t>
            </w:r>
          </w:p>
        </w:tc>
      </w:tr>
    </w:tbl>
    <w:p>
      <w:pPr>
        <w:pStyle w:val="Heading3"/>
      </w:pPr>
      <w:r>
        <w:t>主标题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参数</w:t>
            </w:r>
          </w:p>
        </w:tc>
        <w:tc>
          <w:tcPr>
            <w:tcW w:type="dxa" w:w="2160"/>
          </w:tcPr>
          <w:p>
            <w:r>
              <w:t>类型</w:t>
            </w:r>
          </w:p>
        </w:tc>
        <w:tc>
          <w:tcPr>
            <w:tcW w:type="dxa" w:w="2160"/>
          </w:tcPr>
          <w:p>
            <w:r>
              <w:t>默认值</w:t>
            </w:r>
          </w:p>
        </w:tc>
        <w:tc>
          <w:tcPr>
            <w:tcW w:type="dxa" w:w="2160"/>
          </w:tcPr>
          <w:p>
            <w:r>
              <w:t>说明</w:t>
            </w:r>
          </w:p>
        </w:tc>
      </w:tr>
      <w:tr>
        <w:tc>
          <w:tcPr>
            <w:tcW w:type="dxa" w:w="2160"/>
          </w:tcPr>
          <w:p>
            <w:r>
              <w:t>Main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整图顶部居中的大标题。</w:t>
            </w:r>
          </w:p>
        </w:tc>
      </w:tr>
      <w:tr>
        <w:tc>
          <w:tcPr>
            <w:tcW w:type="dxa" w:w="2160"/>
          </w:tcPr>
          <w:p>
            <w:r>
              <w:t>MainColor / legacy: MainCor</w:t>
            </w:r>
          </w:p>
        </w:tc>
        <w:tc>
          <w:tcPr>
            <w:tcW w:type="dxa" w:w="2160"/>
          </w:tcPr>
          <w:p>
            <w:r>
              <w:t>color</w:t>
            </w:r>
          </w:p>
        </w:tc>
        <w:tc>
          <w:tcPr>
            <w:tcW w:type="dxa" w:w="2160"/>
          </w:tcPr>
          <w:p>
            <w:r>
              <w:t>blue</w:t>
            </w:r>
          </w:p>
        </w:tc>
        <w:tc>
          <w:tcPr>
            <w:tcW w:type="dxa" w:w="2160"/>
          </w:tcPr>
          <w:p>
            <w:r>
              <w:t>标题颜色（默认 blue）。注意历史文档中的 MainCor 是无效拼写，GUI 会自动改写。</w:t>
            </w:r>
          </w:p>
        </w:tc>
      </w:tr>
      <w:tr>
        <w:tc>
          <w:tcPr>
            <w:tcW w:type="dxa" w:w="2160"/>
          </w:tcPr>
          <w:p>
            <w:r>
              <w:t>MainRatioFontSize</w:t>
            </w:r>
          </w:p>
        </w:tc>
        <w:tc>
          <w:tcPr>
            <w:tcW w:type="dxa" w:w="2160"/>
          </w:tcPr>
          <w:p>
            <w:r>
              <w:t>float</w:t>
            </w:r>
          </w:p>
        </w:tc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标题字号 = font-size × 1.2 × 该比例。</w:t>
            </w:r>
          </w:p>
        </w:tc>
      </w:tr>
      <w:tr>
        <w:tc>
          <w:tcPr>
            <w:tcW w:type="dxa" w:w="2160"/>
          </w:tcPr>
          <w:p>
            <w:r>
              <w:t>ShiftMainX</w:t>
            </w:r>
          </w:p>
        </w:tc>
        <w:tc>
          <w:tcPr>
            <w:tcW w:type="dxa" w:w="2160"/>
          </w:tcPr>
          <w:p>
            <w:r>
              <w:t>float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主标题水平微调(px)。</w:t>
            </w:r>
          </w:p>
        </w:tc>
      </w:tr>
      <w:tr>
        <w:tc>
          <w:tcPr>
            <w:tcW w:type="dxa" w:w="2160"/>
          </w:tcPr>
          <w:p>
            <w:r>
              <w:t>ShiftMainY</w:t>
            </w:r>
          </w:p>
        </w:tc>
        <w:tc>
          <w:tcPr>
            <w:tcW w:type="dxa" w:w="2160"/>
          </w:tcPr>
          <w:p>
            <w:r>
              <w:t>float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主标题垂直微调(px)，基准为 up/2 - 2×font-size。</w:t>
            </w:r>
          </w:p>
        </w:tc>
      </w:tr>
    </w:tbl>
    <w:p>
      <w:pPr>
        <w:pStyle w:val="Heading3"/>
      </w:pPr>
      <w:r>
        <w:t>基因组与染色体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参数</w:t>
            </w:r>
          </w:p>
        </w:tc>
        <w:tc>
          <w:tcPr>
            <w:tcW w:type="dxa" w:w="2160"/>
          </w:tcPr>
          <w:p>
            <w:r>
              <w:t>类型</w:t>
            </w:r>
          </w:p>
        </w:tc>
        <w:tc>
          <w:tcPr>
            <w:tcW w:type="dxa" w:w="2160"/>
          </w:tcPr>
          <w:p>
            <w:r>
              <w:t>默认值</w:t>
            </w:r>
          </w:p>
        </w:tc>
        <w:tc>
          <w:tcPr>
            <w:tcW w:type="dxa" w:w="2160"/>
          </w:tcPr>
          <w:p>
            <w:r>
              <w:t>说明</w:t>
            </w:r>
          </w:p>
        </w:tc>
      </w:tr>
      <w:tr>
        <w:tc>
          <w:tcPr>
            <w:tcW w:type="dxa" w:w="2160"/>
          </w:tcPr>
          <w:p>
            <w:r>
              <w:t>TotalGenomeNumber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覆盖自动检测的基因组数量（高级用法；正常情况下由 GenomeInfoFileN 与 SetParaFor=GenomeN 自动推断）。</w:t>
            </w:r>
          </w:p>
        </w:tc>
      </w:tr>
      <w:tr>
        <w:tc>
          <w:tcPr>
            <w:tcW w:type="dxa" w:w="2160"/>
          </w:tcPr>
          <w:p>
            <w:r>
              <w:t>ZoomChr</w:t>
            </w:r>
          </w:p>
        </w:tc>
        <w:tc>
          <w:tcPr>
            <w:tcW w:type="dxa" w:w="2160"/>
          </w:tcPr>
          <w:p>
            <w:r>
              <w:t>float</w:t>
            </w:r>
          </w:p>
        </w:tc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&gt;1 放大、&lt;1 缩小、=1 等长。不能为 0（会导致引擎除零崩溃）。</w:t>
            </w:r>
          </w:p>
        </w:tc>
      </w:tr>
      <w:tr>
        <w:tc>
          <w:tcPr>
            <w:tcW w:type="dxa" w:w="2160"/>
          </w:tcPr>
          <w:p>
            <w:r>
              <w:t>ChrWidth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染色体条在画布上的粗细(px)。</w:t>
            </w:r>
          </w:p>
        </w:tc>
      </w:tr>
      <w:tr>
        <w:tc>
          <w:tcPr>
            <w:tcW w:type="dxa" w:w="2160"/>
          </w:tcPr>
          <w:p>
            <w:r>
              <w:t>LinkWidth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>
              <w:t>180</w:t>
            </w:r>
          </w:p>
        </w:tc>
        <w:tc>
          <w:tcPr>
            <w:tcW w:type="dxa" w:w="2160"/>
          </w:tcPr>
          <w:p>
            <w:r>
              <w:t>本基因组与下一个基因组之间链接带的垂直空间(px)。</w:t>
            </w:r>
          </w:p>
        </w:tc>
      </w:tr>
      <w:tr>
        <w:tc>
          <w:tcPr>
            <w:tcW w:type="dxa" w:w="2160"/>
          </w:tcPr>
          <w:p>
            <w:r>
              <w:t>ChrSpacing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同一基因组内相邻染色体之间的间隔(px)。</w:t>
            </w:r>
          </w:p>
        </w:tc>
      </w:tr>
      <w:tr>
        <w:tc>
          <w:tcPr>
            <w:tcW w:type="dxa" w:w="2160"/>
          </w:tcPr>
          <w:p>
            <w:r>
              <w:t>NormalizedScale</w:t>
            </w:r>
          </w:p>
        </w:tc>
        <w:tc>
          <w:tcPr>
            <w:tcW w:type="dxa" w:w="2160"/>
          </w:tcPr>
          <w:p>
            <w:r>
              <w:t>bool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0=与默认基因组共用标尺；1=该基因组使用自己的坐标比例。</w:t>
            </w:r>
          </w:p>
        </w:tc>
      </w:tr>
      <w:tr>
        <w:tc>
          <w:tcPr>
            <w:tcW w:type="dxa" w:w="2160"/>
          </w:tcPr>
          <w:p>
            <w:r>
              <w:t>EndCurveRadian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染色体末端圆角(px)。引擎要求 ≥2，小于 2 会被强制改回 2。</w:t>
            </w:r>
          </w:p>
        </w:tc>
      </w:tr>
      <w:tr>
        <w:tc>
          <w:tcPr>
            <w:tcW w:type="dxa" w:w="2160"/>
          </w:tcPr>
          <w:p>
            <w:r>
              <w:t>RotateChr</w:t>
            </w:r>
          </w:p>
        </w:tc>
        <w:tc>
          <w:tcPr>
            <w:tcW w:type="dxa" w:w="2160"/>
          </w:tcPr>
          <w:p>
            <w:r>
              <w:t>float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整组染色体绕起点旋转的角度，&gt;0 顺时针、&lt;0 逆时针。</w:t>
            </w:r>
          </w:p>
        </w:tc>
      </w:tr>
      <w:tr>
        <w:tc>
          <w:tcPr>
            <w:tcW w:type="dxa" w:w="2160"/>
          </w:tcPr>
          <w:p>
            <w:r>
              <w:t>ShiftX</w:t>
            </w:r>
          </w:p>
        </w:tc>
        <w:tc>
          <w:tcPr>
            <w:tcW w:type="dxa" w:w="2160"/>
          </w:tcPr>
          <w:p>
            <w:r>
              <w:t>float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在默认布局基础上平移该基因组(px)，与 MoveToX 叠加。</w:t>
            </w:r>
          </w:p>
        </w:tc>
      </w:tr>
      <w:tr>
        <w:tc>
          <w:tcPr>
            <w:tcW w:type="dxa" w:w="2160"/>
          </w:tcPr>
          <w:p>
            <w:r>
              <w:t>ShiftY</w:t>
            </w:r>
          </w:p>
        </w:tc>
        <w:tc>
          <w:tcPr>
            <w:tcW w:type="dxa" w:w="2160"/>
          </w:tcPr>
          <w:p>
            <w:r>
              <w:t>float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在默认布局基础上平移该基因组(px)，与 MoveToY 叠加。</w:t>
            </w:r>
          </w:p>
        </w:tc>
      </w:tr>
      <w:tr>
        <w:tc>
          <w:tcPr>
            <w:tcW w:type="dxa" w:w="2160"/>
          </w:tcPr>
          <w:p>
            <w:r>
              <w:t>MoveToX / legacy: MoveX</w:t>
            </w:r>
          </w:p>
        </w:tc>
        <w:tc>
          <w:tcPr>
            <w:tcW w:type="dxa" w:w="2160"/>
          </w:tcPr>
          <w:p>
            <w:r>
              <w:t>float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把该基因组起点放到画布绝对 X 坐标（与 ShiftX 叠加）。手册中的 MoveX 是无效拼写。</w:t>
            </w:r>
          </w:p>
        </w:tc>
      </w:tr>
      <w:tr>
        <w:tc>
          <w:tcPr>
            <w:tcW w:type="dxa" w:w="2160"/>
          </w:tcPr>
          <w:p>
            <w:r>
              <w:t>MoveToY / legacy: MoveY</w:t>
            </w:r>
          </w:p>
        </w:tc>
        <w:tc>
          <w:tcPr>
            <w:tcW w:type="dxa" w:w="2160"/>
          </w:tcPr>
          <w:p>
            <w:r>
              <w:t>float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把该基因组起点放到画布绝对 Y 坐标（与 ShiftY 叠加）。手册中的 MoveY 是无效拼写。</w:t>
            </w:r>
          </w:p>
        </w:tc>
      </w:tr>
    </w:tbl>
    <w:p>
      <w:pPr>
        <w:pStyle w:val="Heading3"/>
      </w:pPr>
      <w:r>
        <w:t>基因组名称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参数</w:t>
            </w:r>
          </w:p>
        </w:tc>
        <w:tc>
          <w:tcPr>
            <w:tcW w:type="dxa" w:w="2160"/>
          </w:tcPr>
          <w:p>
            <w:r>
              <w:t>类型</w:t>
            </w:r>
          </w:p>
        </w:tc>
        <w:tc>
          <w:tcPr>
            <w:tcW w:type="dxa" w:w="2160"/>
          </w:tcPr>
          <w:p>
            <w:r>
              <w:t>默认值</w:t>
            </w:r>
          </w:p>
        </w:tc>
        <w:tc>
          <w:tcPr>
            <w:tcW w:type="dxa" w:w="2160"/>
          </w:tcPr>
          <w:p>
            <w:r>
              <w:t>说明</w:t>
            </w:r>
          </w:p>
        </w:tc>
      </w:tr>
      <w:tr>
        <w:tc>
          <w:tcPr>
            <w:tcW w:type="dxa" w:w="2160"/>
          </w:tcPr>
          <w:p>
            <w:r>
              <w:t>GenomeName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左侧斜体基因组名。默认取 .len 文件名去掉扩展名。</w:t>
            </w:r>
          </w:p>
        </w:tc>
      </w:tr>
      <w:tr>
        <w:tc>
          <w:tcPr>
            <w:tcW w:type="dxa" w:w="2160"/>
          </w:tcPr>
          <w:p>
            <w:r>
              <w:t>GenomeNameColor</w:t>
            </w:r>
          </w:p>
        </w:tc>
        <w:tc>
          <w:tcPr>
            <w:tcW w:type="dxa" w:w="2160"/>
          </w:tcPr>
          <w:p>
            <w:r>
              <w:t>color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默认取该基因组染色体条的颜色。</w:t>
            </w:r>
          </w:p>
        </w:tc>
      </w:tr>
      <w:tr>
        <w:tc>
          <w:tcPr>
            <w:tcW w:type="dxa" w:w="2160"/>
          </w:tcPr>
          <w:p>
            <w:r>
              <w:t>GenomeNameSizeRatio / legacy: GenomeNameRatio</w:t>
            </w:r>
          </w:p>
        </w:tc>
        <w:tc>
          <w:tcPr>
            <w:tcW w:type="dxa" w:w="2160"/>
          </w:tcPr>
          <w:p>
            <w:r>
              <w:t>float</w:t>
            </w:r>
          </w:p>
        </w:tc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基因组名字号 = font-size × 1.4 × 比例。历史文档中的 GenomeNameRatio 是无效拼写。</w:t>
            </w:r>
          </w:p>
        </w:tc>
      </w:tr>
      <w:tr>
        <w:tc>
          <w:tcPr>
            <w:tcW w:type="dxa" w:w="2160"/>
          </w:tcPr>
          <w:p>
            <w:r>
              <w:t>GenomeNameShiftX</w:t>
            </w:r>
          </w:p>
        </w:tc>
        <w:tc>
          <w:tcPr>
            <w:tcW w:type="dxa" w:w="2160"/>
          </w:tcPr>
          <w:p>
            <w:r>
              <w:t>float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基因组名水平微调(px)。</w:t>
            </w:r>
          </w:p>
        </w:tc>
      </w:tr>
      <w:tr>
        <w:tc>
          <w:tcPr>
            <w:tcW w:type="dxa" w:w="2160"/>
          </w:tcPr>
          <w:p>
            <w:r>
              <w:t>GenomeNameShiftY</w:t>
            </w:r>
          </w:p>
        </w:tc>
        <w:tc>
          <w:tcPr>
            <w:tcW w:type="dxa" w:w="2160"/>
          </w:tcPr>
          <w:p>
            <w:r>
              <w:t>float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基因组名垂直微调(px)。</w:t>
            </w:r>
          </w:p>
        </w:tc>
      </w:tr>
    </w:tbl>
    <w:p>
      <w:pPr>
        <w:pStyle w:val="Heading3"/>
      </w:pPr>
      <w:r>
        <w:t>染色体名称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参数</w:t>
            </w:r>
          </w:p>
        </w:tc>
        <w:tc>
          <w:tcPr>
            <w:tcW w:type="dxa" w:w="2160"/>
          </w:tcPr>
          <w:p>
            <w:r>
              <w:t>类型</w:t>
            </w:r>
          </w:p>
        </w:tc>
        <w:tc>
          <w:tcPr>
            <w:tcW w:type="dxa" w:w="2160"/>
          </w:tcPr>
          <w:p>
            <w:r>
              <w:t>默认值</w:t>
            </w:r>
          </w:p>
        </w:tc>
        <w:tc>
          <w:tcPr>
            <w:tcW w:type="dxa" w:w="2160"/>
          </w:tcPr>
          <w:p>
            <w:r>
              <w:t>说明</w:t>
            </w:r>
          </w:p>
        </w:tc>
      </w:tr>
      <w:tr>
        <w:tc>
          <w:tcPr>
            <w:tcW w:type="dxa" w:w="2160"/>
          </w:tcPr>
          <w:p>
            <w:r>
              <w:t>ChrNameShow</w:t>
            </w:r>
          </w:p>
        </w:tc>
        <w:tc>
          <w:tcPr>
            <w:tcW w:type="dxa" w:w="2160"/>
          </w:tcPr>
          <w:p>
            <w:r>
              <w:t>bool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在染色体条上方显示染色体名称。</w:t>
            </w:r>
          </w:p>
        </w:tc>
      </w:tr>
      <w:tr>
        <w:tc>
          <w:tcPr>
            <w:tcW w:type="dxa" w:w="2160"/>
          </w:tcPr>
          <w:p>
            <w:r>
              <w:t>ChrNameSizeRatio</w:t>
            </w:r>
          </w:p>
        </w:tc>
        <w:tc>
          <w:tcPr>
            <w:tcW w:type="dxa" w:w="2160"/>
          </w:tcPr>
          <w:p>
            <w:r>
              <w:t>float</w:t>
            </w:r>
          </w:p>
        </w:tc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染色体名字号 = font-size × 1.2 × 比例。</w:t>
            </w:r>
          </w:p>
        </w:tc>
      </w:tr>
      <w:tr>
        <w:tc>
          <w:tcPr>
            <w:tcW w:type="dxa" w:w="2160"/>
          </w:tcPr>
          <w:p>
            <w:r>
              <w:t>ChrNameColor</w:t>
            </w:r>
          </w:p>
        </w:tc>
        <w:tc>
          <w:tcPr>
            <w:tcW w:type="dxa" w:w="2160"/>
          </w:tcPr>
          <w:p>
            <w:r>
              <w:t>color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默认取该基因组染色体条颜色。</w:t>
            </w:r>
          </w:p>
        </w:tc>
      </w:tr>
      <w:tr>
        <w:tc>
          <w:tcPr>
            <w:tcW w:type="dxa" w:w="2160"/>
          </w:tcPr>
          <w:p>
            <w:r>
              <w:t>ChrNameShiftX</w:t>
            </w:r>
          </w:p>
        </w:tc>
        <w:tc>
          <w:tcPr>
            <w:tcW w:type="dxa" w:w="2160"/>
          </w:tcPr>
          <w:p>
            <w:r>
              <w:t>float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染色体名水平微调(px)，可与 .len 行内属性叠加。</w:t>
            </w:r>
          </w:p>
        </w:tc>
      </w:tr>
      <w:tr>
        <w:tc>
          <w:tcPr>
            <w:tcW w:type="dxa" w:w="2160"/>
          </w:tcPr>
          <w:p>
            <w:r>
              <w:t>ChrNameShiftY</w:t>
            </w:r>
          </w:p>
        </w:tc>
        <w:tc>
          <w:tcPr>
            <w:tcW w:type="dxa" w:w="2160"/>
          </w:tcPr>
          <w:p>
            <w:r>
              <w:t>float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染色体名垂直微调(px)，可与 .len 行内属性叠加。</w:t>
            </w:r>
          </w:p>
        </w:tc>
      </w:tr>
      <w:tr>
        <w:tc>
          <w:tcPr>
            <w:tcW w:type="dxa" w:w="2160"/>
          </w:tcPr>
          <w:p>
            <w:r>
              <w:t>ChrNameRotate</w:t>
            </w:r>
          </w:p>
        </w:tc>
        <w:tc>
          <w:tcPr>
            <w:tcW w:type="dxa" w:w="2160"/>
          </w:tcPr>
          <w:p>
            <w:r>
              <w:t>float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在 RotateChr 基础上追加的名称旋转角度。</w:t>
            </w:r>
          </w:p>
        </w:tc>
      </w:tr>
    </w:tbl>
    <w:p>
      <w:pPr>
        <w:pStyle w:val="Heading3"/>
      </w:pPr>
      <w:r>
        <w:t>坐标轴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参数</w:t>
            </w:r>
          </w:p>
        </w:tc>
        <w:tc>
          <w:tcPr>
            <w:tcW w:type="dxa" w:w="2160"/>
          </w:tcPr>
          <w:p>
            <w:r>
              <w:t>类型</w:t>
            </w:r>
          </w:p>
        </w:tc>
        <w:tc>
          <w:tcPr>
            <w:tcW w:type="dxa" w:w="2160"/>
          </w:tcPr>
          <w:p>
            <w:r>
              <w:t>默认值</w:t>
            </w:r>
          </w:p>
        </w:tc>
        <w:tc>
          <w:tcPr>
            <w:tcW w:type="dxa" w:w="2160"/>
          </w:tcPr>
          <w:p>
            <w:r>
              <w:t>说明</w:t>
            </w:r>
          </w:p>
        </w:tc>
      </w:tr>
      <w:tr>
        <w:tc>
          <w:tcPr>
            <w:tcW w:type="dxa" w:w="2160"/>
          </w:tcPr>
          <w:p>
            <w:r>
              <w:t>ShowCoordinates</w:t>
            </w:r>
          </w:p>
        </w:tc>
        <w:tc>
          <w:tcPr>
            <w:tcW w:type="dxa" w:w="2160"/>
          </w:tcPr>
          <w:p>
            <w:r>
              <w:t>bool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该基因组是否绘制坐标刻度与标签。</w:t>
            </w:r>
          </w:p>
        </w:tc>
      </w:tr>
      <w:tr>
        <w:tc>
          <w:tcPr>
            <w:tcW w:type="dxa" w:w="2160"/>
          </w:tcPr>
          <w:p>
            <w:r>
              <w:t>ScaleNum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坐标轴刻度分割份数（0..N 共 N+1 个刻度）。</w:t>
            </w:r>
          </w:p>
        </w:tc>
      </w:tr>
      <w:tr>
        <w:tc>
          <w:tcPr>
            <w:tcW w:type="dxa" w:w="2160"/>
          </w:tcPr>
          <w:p>
            <w:r>
              <w:t>ScaleUpDown</w:t>
            </w:r>
          </w:p>
        </w:tc>
        <w:tc>
          <w:tcPr>
            <w:tcW w:type="dxa" w:w="2160"/>
          </w:tcPr>
          <w:p>
            <w:r>
              <w:t>enum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引擎只识别 “Up”（刻度画在染色体上方）；不设置时：基因组1默认上方，其余默认下方。</w:t>
            </w:r>
          </w:p>
        </w:tc>
      </w:tr>
      <w:tr>
        <w:tc>
          <w:tcPr>
            <w:tcW w:type="dxa" w:w="2160"/>
          </w:tcPr>
          <w:p>
            <w:r>
              <w:t>ScaleUnit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目标刻度间距(bp)。推导出的份数必须在 2..100 之间，否则引擎回退到 ScaleNum。</w:t>
            </w:r>
          </w:p>
        </w:tc>
      </w:tr>
      <w:tr>
        <w:tc>
          <w:tcPr>
            <w:tcW w:type="dxa" w:w="2160"/>
          </w:tcPr>
          <w:p>
            <w:r>
              <w:t>LabelUnit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坐标后缀。默认按长度自动选 M / K / b，也可自定义字符串。</w:t>
            </w:r>
          </w:p>
        </w:tc>
      </w:tr>
      <w:tr>
        <w:tc>
          <w:tcPr>
            <w:tcW w:type="dxa" w:w="2160"/>
          </w:tcPr>
          <w:p>
            <w:r>
              <w:t>LablefontsizeRatio</w:t>
            </w:r>
          </w:p>
        </w:tc>
        <w:tc>
          <w:tcPr>
            <w:tcW w:type="dxa" w:w="2160"/>
          </w:tcPr>
          <w:p>
            <w:r>
              <w:t>float</w:t>
            </w:r>
          </w:p>
        </w:tc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坐标标签字号 = 比例 × font-size。注意拼写是引擎历史拼写 Lable。</w:t>
            </w:r>
          </w:p>
        </w:tc>
      </w:tr>
      <w:tr>
        <w:tc>
          <w:tcPr>
            <w:tcW w:type="dxa" w:w="2160"/>
          </w:tcPr>
          <w:p>
            <w:r>
              <w:t>LablePrecision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坐标标签保留的小数位数（默认 1）。未写入官方文档但引擎真实读取。</w:t>
            </w:r>
          </w:p>
        </w:tc>
      </w:tr>
      <w:tr>
        <w:tc>
          <w:tcPr>
            <w:tcW w:type="dxa" w:w="2160"/>
          </w:tcPr>
          <w:p>
            <w:r>
              <w:t>RotateAxisText</w:t>
            </w:r>
          </w:p>
        </w:tc>
        <w:tc>
          <w:tcPr>
            <w:tcW w:type="dxa" w:w="2160"/>
          </w:tcPr>
          <w:p>
            <w:r>
              <w:t>float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在 RotateChr 基础上追加的坐标文字旋转角度。</w:t>
            </w:r>
          </w:p>
        </w:tc>
      </w:tr>
      <w:tr>
        <w:tc>
          <w:tcPr>
            <w:tcW w:type="dxa" w:w="2160"/>
          </w:tcPr>
          <w:p>
            <w:r>
              <w:t>NoShowLabel</w:t>
            </w:r>
          </w:p>
        </w:tc>
        <w:tc>
          <w:tcPr>
            <w:tcW w:type="dxa" w:w="2160"/>
          </w:tcPr>
          <w:p>
            <w:r>
              <w:t>bool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只要该键存在即隐藏坐标数字（保留刻度线）。写 0 也会生效。</w:t>
            </w:r>
          </w:p>
        </w:tc>
      </w:tr>
    </w:tbl>
    <w:p>
      <w:pPr>
        <w:pStyle w:val="Heading3"/>
      </w:pPr>
      <w:r>
        <w:t>特殊区域与缩放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参数</w:t>
            </w:r>
          </w:p>
        </w:tc>
        <w:tc>
          <w:tcPr>
            <w:tcW w:type="dxa" w:w="2160"/>
          </w:tcPr>
          <w:p>
            <w:r>
              <w:t>类型</w:t>
            </w:r>
          </w:p>
        </w:tc>
        <w:tc>
          <w:tcPr>
            <w:tcW w:type="dxa" w:w="2160"/>
          </w:tcPr>
          <w:p>
            <w:r>
              <w:t>默认值</w:t>
            </w:r>
          </w:p>
        </w:tc>
        <w:tc>
          <w:tcPr>
            <w:tcW w:type="dxa" w:w="2160"/>
          </w:tcPr>
          <w:p>
            <w:r>
              <w:t>说明</w:t>
            </w:r>
          </w:p>
        </w:tc>
      </w:tr>
      <w:tr>
        <w:tc>
          <w:tcPr>
            <w:tcW w:type="dxa" w:w="2160"/>
          </w:tcPr>
          <w:p>
            <w:r>
              <w:t>SpeRegionFile</w:t>
            </w:r>
          </w:p>
        </w:tc>
        <w:tc>
          <w:tcPr>
            <w:tcW w:type="dxa" w:w="2160"/>
          </w:tcPr>
          <w:p>
            <w:r>
              <w:t>file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高亮/注释区域文件（.gz 支持）。格式: chr start end [属性]。可对指定行加 SN=文字 或 CDS/UTR/mRNA 关键字改变样式。</w:t>
            </w:r>
          </w:p>
        </w:tc>
      </w:tr>
      <w:tr>
        <w:tc>
          <w:tcPr>
            <w:tcW w:type="dxa" w:w="2160"/>
          </w:tcPr>
          <w:p>
            <w:r>
              <w:t>ZoomRegion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只显示某条染色体的指定区间，格式 chr:start:end（如 Chr6:12914310:18879240），区域必须在该染色体范围内。</w:t>
            </w:r>
          </w:p>
        </w:tc>
      </w:tr>
      <w:tr>
        <w:tc>
          <w:tcPr>
            <w:tcW w:type="dxa" w:w="2160"/>
          </w:tcPr>
          <w:p>
            <w:r>
              <w:t>SpeRegionWidthRatio</w:t>
            </w:r>
          </w:p>
        </w:tc>
        <w:tc>
          <w:tcPr>
            <w:tcW w:type="dxa" w:w="2160"/>
          </w:tcPr>
          <w:p>
            <w:r>
              <w:t>float</w:t>
            </w:r>
          </w:p>
        </w:tc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特殊区域条相对染色体条半高的倍数；也可在区域文件行内用 SpeRegionWidthRatio= 设置（乘法叠加）。</w:t>
            </w:r>
          </w:p>
        </w:tc>
      </w:tr>
    </w:tbl>
    <w:p>
      <w:pPr>
        <w:pStyle w:val="Heading3"/>
      </w:pPr>
      <w:r>
        <w:t>链接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参数</w:t>
            </w:r>
          </w:p>
        </w:tc>
        <w:tc>
          <w:tcPr>
            <w:tcW w:type="dxa" w:w="2160"/>
          </w:tcPr>
          <w:p>
            <w:r>
              <w:t>类型</w:t>
            </w:r>
          </w:p>
        </w:tc>
        <w:tc>
          <w:tcPr>
            <w:tcW w:type="dxa" w:w="2160"/>
          </w:tcPr>
          <w:p>
            <w:r>
              <w:t>默认值</w:t>
            </w:r>
          </w:p>
        </w:tc>
        <w:tc>
          <w:tcPr>
            <w:tcW w:type="dxa" w:w="2160"/>
          </w:tcPr>
          <w:p>
            <w:r>
              <w:t>说明</w:t>
            </w:r>
          </w:p>
        </w:tc>
      </w:tr>
      <w:tr>
        <w:tc>
          <w:tcPr>
            <w:tcW w:type="dxa" w:w="2160"/>
          </w:tcPr>
          <w:p>
            <w:r>
              <w:t>StyleUpDown</w:t>
            </w:r>
          </w:p>
        </w:tc>
        <w:tc>
          <w:tcPr>
            <w:tcW w:type="dxa" w:w="2160"/>
          </w:tcPr>
          <w:p>
            <w:r>
              <w:t>enum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五种取值(区分大小写): UpDown/DownUp/UpUp/DownDown/line(直线)。不设置时按两个基因组的上下顺序自动选择曲线方向。</w:t>
            </w:r>
          </w:p>
        </w:tc>
      </w:tr>
      <w:tr>
        <w:tc>
          <w:tcPr>
            <w:tcW w:type="dxa" w:w="2160"/>
          </w:tcPr>
          <w:p>
            <w:r>
              <w:t>lineType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写 line 表示直线（与 StyleUpDown=line 等效，优先级更高）。</w:t>
            </w:r>
          </w:p>
        </w:tc>
      </w:tr>
      <w:tr>
        <w:tc>
          <w:tcPr>
            <w:tcW w:type="dxa" w:w="2160"/>
          </w:tcPr>
          <w:p>
            <w:r>
              <w:t>Reverse</w:t>
            </w:r>
          </w:p>
        </w:tc>
        <w:tc>
          <w:tcPr>
            <w:tcW w:type="dxa" w:w="2160"/>
          </w:tcPr>
          <w:p>
            <w:r>
              <w:t>bool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交换链接在两条染色体上的起止附着点。</w:t>
            </w:r>
          </w:p>
        </w:tc>
      </w:tr>
      <w:tr>
        <w:tc>
          <w:tcPr>
            <w:tcW w:type="dxa" w:w="2160"/>
          </w:tcPr>
          <w:p>
            <w:r>
              <w:t>HeightRatio / legacy: HightRation</w:t>
            </w:r>
          </w:p>
        </w:tc>
        <w:tc>
          <w:tcPr>
            <w:tcW w:type="dxa" w:w="2160"/>
          </w:tcPr>
          <w:p>
            <w:r>
              <w:t>float</w:t>
            </w:r>
          </w:p>
        </w:tc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链接带高度的放大/缩小比例，可为负（示例中使用 -1.5）。历史文档中的 HightRation 是无效拼写，GUI 会自动改写。</w:t>
            </w:r>
          </w:p>
        </w:tc>
      </w:tr>
      <w:tr>
        <w:tc>
          <w:tcPr>
            <w:tcW w:type="dxa" w:w="2160"/>
          </w:tcPr>
          <w:p>
            <w:r>
              <w:t>OutsideWidthDeta</w:t>
            </w:r>
          </w:p>
        </w:tc>
        <w:tc>
          <w:tcPr>
            <w:tcW w:type="dxa" w:w="2160"/>
          </w:tcPr>
          <w:p>
            <w:r>
              <w:t>float</w:t>
            </w:r>
          </w:p>
        </w:tc>
        <w:tc>
          <w:tcPr>
            <w:tcW w:type="dxa" w:w="2160"/>
          </w:tcPr>
          <w:p>
            <w:r>
              <w:t>-2.0</w:t>
            </w:r>
          </w:p>
        </w:tc>
        <w:tc>
          <w:tcPr>
            <w:tcW w:type="dxa" w:w="2160"/>
          </w:tcPr>
          <w:p>
            <w:r>
              <w:t>链接带与染色体条之间的间隙(px)，正值更远、负值更近（默认 -2）。</w:t>
            </w:r>
          </w:p>
        </w:tc>
      </w:tr>
      <w:tr>
        <w:tc>
          <w:tcPr>
            <w:tcW w:type="dxa" w:w="2160"/>
          </w:tcPr>
          <w:p>
            <w:r>
              <w:t>ShortLinkLineRefA</w:t>
            </w:r>
          </w:p>
        </w:tc>
        <w:tc>
          <w:tcPr>
            <w:tcW w:type="dxa" w:w="2160"/>
          </w:tcPr>
          <w:p>
            <w:r>
              <w:t>float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链接带在基因组A一侧的缩短量(px)，负值加长。</w:t>
            </w:r>
          </w:p>
        </w:tc>
      </w:tr>
      <w:tr>
        <w:tc>
          <w:tcPr>
            <w:tcW w:type="dxa" w:w="2160"/>
          </w:tcPr>
          <w:p>
            <w:r>
              <w:t>ShortLinkLineRefB</w:t>
            </w:r>
          </w:p>
        </w:tc>
        <w:tc>
          <w:tcPr>
            <w:tcW w:type="dxa" w:w="2160"/>
          </w:tcPr>
          <w:p>
            <w:r>
              <w:t>float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链接带在基因组B一侧的缩短量(px)，负值加长。</w:t>
            </w:r>
          </w:p>
        </w:tc>
      </w:tr>
    </w:tbl>
    <w:p>
      <w:pPr>
        <w:pStyle w:val="Heading3"/>
      </w:pPr>
      <w:r>
        <w:t>样式 (SVG)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参数</w:t>
            </w:r>
          </w:p>
        </w:tc>
        <w:tc>
          <w:tcPr>
            <w:tcW w:type="dxa" w:w="2160"/>
          </w:tcPr>
          <w:p>
            <w:r>
              <w:t>类型</w:t>
            </w:r>
          </w:p>
        </w:tc>
        <w:tc>
          <w:tcPr>
            <w:tcW w:type="dxa" w:w="2160"/>
          </w:tcPr>
          <w:p>
            <w:r>
              <w:t>默认值</w:t>
            </w:r>
          </w:p>
        </w:tc>
        <w:tc>
          <w:tcPr>
            <w:tcW w:type="dxa" w:w="2160"/>
          </w:tcPr>
          <w:p>
            <w:r>
              <w:t>说明</w:t>
            </w:r>
          </w:p>
        </w:tc>
      </w:tr>
      <w:tr>
        <w:tc>
          <w:tcPr>
            <w:tcW w:type="dxa" w:w="2160"/>
          </w:tcPr>
          <w:p>
            <w:r>
              <w:t>fill</w:t>
            </w:r>
          </w:p>
        </w:tc>
        <w:tc>
          <w:tcPr>
            <w:tcW w:type="dxa" w:w="2160"/>
          </w:tcPr>
          <w:p>
            <w:r>
              <w:t>color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基因组: 染色体条填充色；链接: 共线性带填充色（设置后覆盖调色板）。</w:t>
            </w:r>
          </w:p>
        </w:tc>
      </w:tr>
      <w:tr>
        <w:tc>
          <w:tcPr>
            <w:tcW w:type="dxa" w:w="2160"/>
          </w:tcPr>
          <w:p>
            <w:r>
              <w:t>stroke</w:t>
            </w:r>
          </w:p>
        </w:tc>
        <w:tc>
          <w:tcPr>
            <w:tcW w:type="dxa" w:w="2160"/>
          </w:tcPr>
          <w:p>
            <w:r>
              <w:t>color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基因组: 染色体条描边；链接: 共线性带描边。</w:t>
            </w:r>
          </w:p>
        </w:tc>
      </w:tr>
      <w:tr>
        <w:tc>
          <w:tcPr>
            <w:tcW w:type="dxa" w:w="2160"/>
          </w:tcPr>
          <w:p>
            <w:r>
              <w:t>stroke-width</w:t>
            </w:r>
          </w:p>
        </w:tc>
        <w:tc>
          <w:tcPr>
            <w:tcW w:type="dxa" w:w="2160"/>
          </w:tcPr>
          <w:p>
            <w:r>
              <w:t>float</w:t>
            </w:r>
          </w:p>
        </w:tc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描边线宽(px)，默认 1，0 表示无边框。</w:t>
            </w:r>
          </w:p>
        </w:tc>
      </w:tr>
      <w:tr>
        <w:tc>
          <w:tcPr>
            <w:tcW w:type="dxa" w:w="2160"/>
          </w:tcPr>
          <w:p>
            <w:r>
              <w:t>stroke-opacity</w:t>
            </w:r>
          </w:p>
        </w:tc>
        <w:tc>
          <w:tcPr>
            <w:tcW w:type="dxa" w:w="2160"/>
          </w:tcPr>
          <w:p>
            <w:r>
              <w:t>float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0..1。基因组默认 1；链接默认 0.92。</w:t>
            </w:r>
          </w:p>
        </w:tc>
      </w:tr>
      <w:tr>
        <w:tc>
          <w:tcPr>
            <w:tcW w:type="dxa" w:w="2160"/>
          </w:tcPr>
          <w:p>
            <w:r>
              <w:t>fill-opacity</w:t>
            </w:r>
          </w:p>
        </w:tc>
        <w:tc>
          <w:tcPr>
            <w:tcW w:type="dxa" w:w="2160"/>
          </w:tcPr>
          <w:p>
            <w:r>
              <w:t>float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0..1。基因组默认 1；链接默认 0.92。</w:t>
            </w:r>
          </w:p>
        </w:tc>
      </w:tr>
    </w:tbl>
    <w:p>
      <w:pPr>
        <w:pStyle w:val="Heading3"/>
      </w:pPr>
      <w:r>
        <w:t>调色板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参数</w:t>
            </w:r>
          </w:p>
        </w:tc>
        <w:tc>
          <w:tcPr>
            <w:tcW w:type="dxa" w:w="2160"/>
          </w:tcPr>
          <w:p>
            <w:r>
              <w:t>类型</w:t>
            </w:r>
          </w:p>
        </w:tc>
        <w:tc>
          <w:tcPr>
            <w:tcW w:type="dxa" w:w="2160"/>
          </w:tcPr>
          <w:p>
            <w:r>
              <w:t>默认值</w:t>
            </w:r>
          </w:p>
        </w:tc>
        <w:tc>
          <w:tcPr>
            <w:tcW w:type="dxa" w:w="2160"/>
          </w:tcPr>
          <w:p>
            <w:r>
              <w:t>说明</w:t>
            </w:r>
          </w:p>
        </w:tc>
      </w:tr>
      <w:tr>
        <w:tc>
          <w:tcPr>
            <w:tcW w:type="dxa" w:w="2160"/>
          </w:tcPr>
          <w:p>
            <w:r>
              <w:t>GenomeColorBrewer</w:t>
            </w:r>
          </w:p>
        </w:tc>
        <w:tc>
          <w:tcPr>
            <w:tcW w:type="dxa" w:w="2160"/>
          </w:tcPr>
          <w:p>
            <w:r>
              <w:t>enum</w:t>
            </w:r>
          </w:p>
        </w:tc>
        <w:tc>
          <w:tcPr>
            <w:tcW w:type="dxa" w:w="2160"/>
          </w:tcPr>
          <w:p>
            <w:r>
              <w:t>Dark2</w:t>
            </w:r>
          </w:p>
        </w:tc>
        <w:tc>
          <w:tcPr>
            <w:tcW w:type="dxa" w:w="2160"/>
          </w:tcPr>
          <w:p>
            <w:r>
              <w:t>染色体条配色，取自引擎内置 RColorBrewer（36 个）。未知名字会导致引擎除零崩溃。</w:t>
            </w:r>
          </w:p>
        </w:tc>
      </w:tr>
      <w:tr>
        <w:tc>
          <w:tcPr>
            <w:tcW w:type="dxa" w:w="2160"/>
          </w:tcPr>
          <w:p>
            <w:r>
              <w:t>ChrColorBrewer</w:t>
            </w:r>
          </w:p>
        </w:tc>
        <w:tc>
          <w:tcPr>
            <w:tcW w:type="dxa" w:w="2160"/>
          </w:tcPr>
          <w:p>
            <w:r>
              <w:t>enum</w:t>
            </w:r>
          </w:p>
        </w:tc>
        <w:tc>
          <w:tcPr>
            <w:tcW w:type="dxa" w:w="2160"/>
          </w:tcPr>
          <w:p>
            <w:r>
              <w:t>Paired</w:t>
            </w:r>
          </w:p>
        </w:tc>
        <w:tc>
          <w:tcPr>
            <w:tcW w:type="dxa" w:w="2160"/>
          </w:tcPr>
          <w:p>
            <w:r>
              <w:t>共线性链接带配色（按染色体在 .len 中的行号循环取色，默认 Paired）。</w:t>
            </w:r>
          </w:p>
        </w:tc>
      </w:tr>
      <w:tr>
        <w:tc>
          <w:tcPr>
            <w:tcW w:type="dxa" w:w="2160"/>
          </w:tcPr>
          <w:p>
            <w:r>
              <w:t>SpeRegionColorBrewer</w:t>
            </w:r>
          </w:p>
        </w:tc>
        <w:tc>
          <w:tcPr>
            <w:tcW w:type="dxa" w:w="2160"/>
          </w:tcPr>
          <w:p>
            <w:r>
              <w:t>enum</w:t>
            </w:r>
          </w:p>
        </w:tc>
        <w:tc>
          <w:tcPr>
            <w:tcW w:type="dxa" w:w="2160"/>
          </w:tcPr>
          <w:p>
            <w:r>
              <w:t>Dark2</w:t>
            </w:r>
          </w:p>
        </w:tc>
        <w:tc>
          <w:tcPr>
            <w:tcW w:type="dxa" w:w="2160"/>
          </w:tcPr>
          <w:p>
            <w:r>
              <w:t>特殊区域高亮配色（默认 Dark2）。</w:t>
            </w:r>
          </w:p>
        </w:tc>
      </w:tr>
    </w:tbl>
    <w:p>
      <w:pPr>
        <w:pStyle w:val="Heading2"/>
      </w:pPr>
      <w:r>
        <w:t>6. 调色板</w:t>
      </w:r>
    </w:p>
    <w:p>
      <w:r>
        <w:t>引擎内置 35 个 RColorBrewer 调色板（GUI 调色板选择器可直接预览）。三个键分别控制：GenomeColorBrewer（染色体条）、ChrColorBrewer（链接带，按染色体行号取色）、SpeRegionColorBrewer（特殊区域）。未知名字会导致引擎崩溃，GUI 会提前校验。</w:t>
      </w:r>
    </w:p>
    <w:p>
      <w:pPr>
        <w:pStyle w:val="Heading2"/>
      </w:pPr>
      <w:r>
        <w:t>7. 常见问题</w:t>
      </w:r>
    </w:p>
    <w:p>
      <w:pPr>
        <w:pStyle w:val="Heading3"/>
      </w:pPr>
      <w:r>
        <w:t>运行失败提示 no-svg？</w:t>
      </w:r>
    </w:p>
    <w:p>
      <w:r>
        <w:t>查看底部运行日志中引擎的输出；常见原因是文件路径不存在、.len/.link 列数不足，或 ZoomRegion 区间越界——GUI 的配置检查会在运行前拦截绝大多数问题。</w:t>
      </w:r>
    </w:p>
    <w:p>
      <w:pPr>
        <w:pStyle w:val="Heading3"/>
      </w:pPr>
      <w:r>
        <w:t>打开旧 conf 后图变了对不对？</w:t>
      </w:r>
    </w:p>
    <w:p>
      <w:r>
        <w:t>如果 conf 含有历史错拼键（如 HightRation、MainCor），引擎原本会静默忽略它们；GUI 自动改写为正确键名并在日志列出清单，因此图按「作者本意」渲染。</w:t>
      </w:r>
    </w:p>
    <w:p>
      <w:pPr>
        <w:pStyle w:val="Heading3"/>
      </w:pPr>
      <w:r>
        <w:t>Linux/macOS 之外能运行吗？</w:t>
      </w:r>
    </w:p>
    <w:p>
      <w:r>
        <w:t>Windows 用户请将便携版 Strawberry Perl 解压到 gui_runtime/perl/（见发行包说明），或正常安装 Perl 后直接双击 NGenomeSynGUI.bat。</w:t>
      </w:r>
    </w:p>
    <w:p>
      <w:pPr>
        <w:pStyle w:val="Heading2"/>
      </w:pPr>
      <w:r>
        <w:t>8. 引用与联系</w:t>
      </w:r>
    </w:p>
    <w:p>
      <w:pPr>
        <w:pStyle w:val="Heading3"/>
      </w:pPr>
      <w:r>
        <w:t>引用文章</w:t>
      </w:r>
    </w:p>
    <w:p>
      <w:r>
        <w:t>使用 NGenomeSyn 发表的成果时，请引用：</w:t>
      </w:r>
    </w:p>
    <w:p>
      <w:r>
        <w:rPr>
          <w:rFonts w:ascii="Consolas" w:hAnsi="Consolas"/>
          <w:sz w:val="18"/>
        </w:rPr>
        <w:t>He W, Yang J, Jing Y, Xu L, Yu K, Fang X. NGenomeSyn: an easy-to-use and flexible tool for publication-ready visualization of syntenic relationships across multiple genomes. Bioinformatics, 2023, btad121.</w:t>
        <w:br/>
        <w:t>https://doi.org/10.1093/bioinformatics/btad121</w:t>
      </w:r>
    </w:p>
    <w:p>
      <w:r>
        <w:rPr>
          <w:i/>
        </w:rPr>
        <w:t>完整文章信息见项目 README 的 Citation 章节。</w:t>
      </w:r>
    </w:p>
    <w:p>
      <w:pPr>
        <w:pStyle w:val="Heading3"/>
      </w:pPr>
      <w:r>
        <w:t>联系</w:t>
      </w:r>
    </w:p>
    <w:p>
      <w:r>
        <w:rPr>
          <w:rFonts w:ascii="Consolas" w:hAnsi="Consolas"/>
          <w:sz w:val="18"/>
        </w:rPr>
        <w:t>https://github.com/hewm2008/NGenomeSyn</w:t>
      </w:r>
    </w:p>
    <w:p>
      <w:r>
        <w:t>邮箱：hewm2008@gmail.com / hewm2008@qq.com    QQ 群：125293663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