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NGenomeSyn GUI Manual</w:t>
      </w:r>
    </w:p>
    <w:p>
      <w:r>
        <w:t>GUI version: 1.50B    |    Engine: NGenomeSyn 1.50 (hewm2008)</w:t>
      </w:r>
    </w:p>
    <w:p>
      <w:pPr>
        <w:pStyle w:val="Heading2"/>
      </w:pPr>
      <w:r>
        <w:t>1. Interface overview</w:t>
      </w:r>
    </w:p>
    <w:p>
      <w:r>
        <w:t>The GUI is a three-column workbench: the left dock manages the two data lists (genome .len files and link .link files), the centre shows a live SVG preview (wheel zoom, drag pan, PNG/PDF export), and the right dock holds the parameter tabs (Global · GenomeALL · Genome 1..N · LinkALL · Link 1..N · Parameters summary). The run log sits at the bottom.</w:t>
      </w:r>
    </w:p>
    <w:p>
      <w:r>
        <w:t>Every parameter shows the engine's real default, its range and bilingual descriptions (hover for details). Legacy misspelled keys are auto-corrected on load and listed in the run log.</w:t>
      </w:r>
    </w:p>
    <w:p>
      <w:r>
        <w:drawing>
          <wp:inline xmlns:a="http://schemas.openxmlformats.org/drawingml/2006/main" xmlns:pic="http://schemas.openxmlformats.org/drawingml/2006/picture">
            <wp:extent cx="5760720" cy="29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Main window: data files + preview (left), live preview (centre), parameter tabs (right)</w:t>
      </w:r>
    </w:p>
    <w:p>
      <w:pPr>
        <w:pStyle w:val="Heading2"/>
      </w:pPr>
      <w:r>
        <w:t>2. Quick start</w:t>
      </w:r>
    </w:p>
    <w:p>
      <w:pPr>
        <w:pStyle w:val="ListBullet"/>
      </w:pPr>
      <w:r>
        <w:t>1. Add at least two .len files in the left Genome files panel (row order = figure order, .gz supported).</w:t>
      </w:r>
    </w:p>
    <w:p>
      <w:pPr>
        <w:pStyle w:val="ListBullet"/>
      </w:pPr>
      <w:r>
        <w:t>2. Add .link files in the Link files panel and pick the two genome numbers with the A:/B: boxes.</w:t>
      </w:r>
    </w:p>
    <w:p>
      <w:pPr>
        <w:pStyle w:val="ListBullet"/>
      </w:pPr>
      <w:r>
        <w:t>3. (Optional) Adjust canvas, chromosome style, axis, link style and palettes in the parameter tabs.</w:t>
      </w:r>
    </w:p>
    <w:p>
      <w:pPr>
        <w:pStyle w:val="ListBullet"/>
      </w:pPr>
      <w:r>
        <w:t>4. Click Run (or F5). With Auto refresh on, every edit re-renders automatically.</w:t>
      </w:r>
    </w:p>
    <w:p>
      <w:pPr>
        <w:pStyle w:val="ListBullet"/>
      </w:pPr>
      <w:r>
        <w:t>5. Export SVG / PNG / PDF with the buttons above the preview.</w:t>
      </w:r>
    </w:p>
    <w:p>
      <w:pPr>
        <w:pStyle w:val="Heading2"/>
      </w:pPr>
      <w:r>
        <w:t>3. Data formats &amp; paths</w:t>
      </w:r>
    </w:p>
    <w:p>
      <w:r>
        <w:drawing>
          <wp:inline xmlns:a="http://schemas.openxmlformats.org/drawingml/2006/main" xmlns:pic="http://schemas.openxmlformats.org/drawingml/2006/picture">
            <wp:extent cx="4095750" cy="6200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Left dock: the two file lists; click any row to preview its first 8 rows, selection syncs across both docks</w:t>
      </w:r>
    </w:p>
    <w:p>
      <w:pPr>
        <w:pStyle w:val="Heading3"/>
      </w:pPr>
      <w:r>
        <w:t>Genome info files (GenomeInfoFileN, .len)</w:t>
      </w:r>
    </w:p>
    <w:p>
      <w:r>
        <w:rPr>
          <w:rFonts w:ascii="Consolas" w:hAnsi="Consolas"/>
          <w:sz w:val="18"/>
        </w:rPr>
        <w:t>Chr1  1  230000</w:t>
        <w:br/>
        <w:t>Chr2  1  190000   fill=red stroke-width=0</w:t>
      </w:r>
    </w:p>
    <w:p>
      <w:pPr>
        <w:pStyle w:val="ListBullet"/>
      </w:pPr>
      <w:r>
        <w:t>Whitespace separated, at least 3 columns: chr start end [attrs…]; row order = figure order.</w:t>
      </w:r>
    </w:p>
    <w:p>
      <w:pPr>
        <w:pStyle w:val="ListBullet"/>
      </w:pPr>
      <w:r>
        <w:t>A row written as "end start" renders that chromosome reverse-complemented.</w:t>
      </w:r>
    </w:p>
    <w:p>
      <w:pPr>
        <w:pStyle w:val="ListBullet"/>
      </w:pPr>
      <w:r>
        <w:t>Numbers must be contiguous from 1 (GenomeInfoFile1, GenomeInfoFile2, …).</w:t>
      </w:r>
    </w:p>
    <w:p>
      <w:pPr>
        <w:pStyle w:val="ListBullet"/>
      </w:pPr>
      <w:r>
        <w:t>Engine rule: Start and End must not both be &gt; 1 (the GUI pre-checks this).</w:t>
      </w:r>
    </w:p>
    <w:p>
      <w:pPr>
        <w:pStyle w:val="Heading3"/>
      </w:pPr>
      <w:r>
        <w:t>Link files (LinkFileRefA VsRefB, .link)</w:t>
      </w:r>
    </w:p>
    <w:p>
      <w:r>
        <w:rPr>
          <w:rFonts w:ascii="Consolas" w:hAnsi="Consolas"/>
          <w:sz w:val="18"/>
        </w:rPr>
        <w:t>Chr1  1000  50000  Chr1  900  49500</w:t>
        <w:br/>
        <w:t>Chr1  60000  120000  Chr2  1000  61000</w:t>
      </w:r>
    </w:p>
    <w:p>
      <w:pPr>
        <w:pStyle w:val="ListBullet"/>
      </w:pPr>
      <w:r>
        <w:t>Whitespace separated, at least 6 columns: chrA startA endA chrB startB endB [attrs…].</w:t>
      </w:r>
    </w:p>
    <w:p>
      <w:pPr>
        <w:pStyle w:val="ListBullet"/>
      </w:pPr>
      <w:r>
        <w:t>The ordinal position of the line in the conf IS the Link1, Link2, … index.</w:t>
      </w:r>
    </w:p>
    <w:p>
      <w:pPr>
        <w:pStyle w:val="Heading3"/>
      </w:pPr>
      <w:r>
        <w:t>Paths &amp; .gz</w:t>
      </w:r>
    </w:p>
    <w:p>
      <w:pPr>
        <w:pStyle w:val="ListBullet"/>
      </w:pPr>
      <w:r>
        <w:t>Relative paths in a conf resolve against the conf's own directory (the GUI always writes absolute paths).</w:t>
      </w:r>
    </w:p>
    <w:p>
      <w:pPr>
        <w:pStyle w:val="ListBullet"/>
      </w:pPr>
      <w:r>
        <w:t>.gz inputs are pre-decompressed by the GUI (no system gzip needed) while keeping the original basename, so derived genome labels stay unchanged.</w:t>
      </w:r>
    </w:p>
    <w:p>
      <w:pPr>
        <w:pStyle w:val="Heading2"/>
      </w:pPr>
      <w:r>
        <w:t>4. Special regions &amp; zoom</w:t>
      </w:r>
    </w:p>
    <w:p>
      <w:pPr>
        <w:pStyle w:val="ListBullet"/>
      </w:pPr>
      <w:r>
        <w:t>ZoomRegion=chr:start:end shows a single region; it must lie inside that chromosome.</w:t>
      </w:r>
    </w:p>
    <w:p>
      <w:pPr>
        <w:pStyle w:val="ListBullet"/>
      </w:pPr>
      <w:r>
        <w:t>SpeRegionFile rows are chr start end [attrs]; SN=text adds a label, and a bare CDS/UTR/mRNA keyword in column 4 picks a preset style.</w:t>
      </w:r>
    </w:p>
    <w:p>
      <w:pPr>
        <w:pStyle w:val="Heading2"/>
      </w:pPr>
      <w:r>
        <w:t>5. Parameter reference</w:t>
      </w:r>
    </w:p>
    <w:p>
      <w:r>
        <w:t>Generated from the schema, matching the GUI; "legacy" lists misspellings that are auto-corrected.</w:t>
      </w:r>
    </w:p>
    <w:p>
      <w:pPr>
        <w:pStyle w:val="Heading3"/>
      </w:pPr>
      <w:r>
        <w:t>Canvas &amp; font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Main drawing width (px). Total width = left+body+right.</w:t>
            </w:r>
          </w:p>
        </w:tc>
      </w:tr>
      <w:tr>
        <w:tc>
          <w:tcPr>
            <w:tcW w:type="dxa" w:w="2160"/>
          </w:tcPr>
          <w:p>
            <w:r>
              <w:t>up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Top margin (px); main title baseline depends on up/2.</w:t>
            </w:r>
          </w:p>
        </w:tc>
      </w:tr>
      <w:tr>
        <w:tc>
          <w:tcPr>
            <w:tcW w:type="dxa" w:w="2160"/>
          </w:tcPr>
          <w:p>
            <w:r>
              <w:t>down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Bottom margin (px).</w:t>
            </w:r>
          </w:p>
        </w:tc>
      </w:tr>
      <w:tr>
        <w:tc>
          <w:tcPr>
            <w:tcW w:type="dxa" w:w="2160"/>
          </w:tcPr>
          <w:p>
            <w:r>
              <w:t>left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Left margin (px); also used to centre the main title.</w:t>
            </w:r>
          </w:p>
        </w:tc>
      </w:tr>
      <w:tr>
        <w:tc>
          <w:tcPr>
            <w:tcW w:type="dxa" w:w="2160"/>
          </w:tcPr>
          <w:p>
            <w:r>
              <w:t>right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Right margin (px); base of per-genome X positions.</w:t>
            </w:r>
          </w:p>
        </w:tc>
      </w:tr>
      <w:tr>
        <w:tc>
          <w:tcPr>
            <w:tcW w:type="dxa" w:w="2160"/>
          </w:tcPr>
          <w:p>
            <w:r>
              <w:t>font-size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Base font size. Chr names ×1.2, axis labels ×1.0, main title ×1.2, genome labels ×1.4.</w:t>
            </w:r>
          </w:p>
        </w:tc>
      </w:tr>
      <w:tr>
        <w:tc>
          <w:tcPr>
            <w:tcW w:type="dxa" w:w="2160"/>
          </w:tcPr>
          <w:p>
            <w:r>
              <w:t>font-family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Arial</w:t>
            </w:r>
          </w:p>
        </w:tc>
        <w:tc>
          <w:tcPr>
            <w:tcW w:type="dxa" w:w="2160"/>
          </w:tcPr>
          <w:p>
            <w:r>
              <w:t>Font family passed verbatim to the SVG (e.g. Arial).</w:t>
            </w:r>
          </w:p>
        </w:tc>
      </w:tr>
      <w:tr>
        <w:tc>
          <w:tcPr>
            <w:tcW w:type="dxa" w:w="2160"/>
          </w:tcPr>
          <w:p>
            <w:r>
              <w:t>CanvasHeightRitao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Scales total height. Must be &gt;0.1 or the engine silently ignores it (the 'Ritao' spelling is the engine's, keep it).</w:t>
            </w:r>
          </w:p>
        </w:tc>
      </w:tr>
      <w:tr>
        <w:tc>
          <w:tcPr>
            <w:tcW w:type="dxa" w:w="2160"/>
          </w:tcPr>
          <w:p>
            <w:r>
              <w:t>CanvasWidthRitao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Scales total width; also must be &gt;0.1.</w:t>
            </w:r>
          </w:p>
        </w:tc>
      </w:tr>
      <w:tr>
        <w:tc>
          <w:tcPr>
            <w:tcW w:type="dxa" w:w="2160"/>
          </w:tcPr>
          <w:p>
            <w:r>
              <w:t>RotatePng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Rotates the exported PNG only (never the SVG).</w:t>
            </w:r>
          </w:p>
        </w:tc>
      </w:tr>
      <w:tr>
        <w:tc>
          <w:tcPr>
            <w:tcW w:type="dxa" w:w="2160"/>
          </w:tcPr>
          <w:p>
            <w:r>
              <w:t>NoPng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The engine skips PNG whenever the key exists (even 0). The GUI renders PNG/PDF itself, so you normally never need it.</w:t>
            </w:r>
          </w:p>
        </w:tc>
      </w:tr>
    </w:tbl>
    <w:p>
      <w:pPr>
        <w:pStyle w:val="Heading3"/>
      </w:pPr>
      <w:r>
        <w:t>Main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Big centred title at the top of the figure.</w:t>
            </w:r>
          </w:p>
        </w:tc>
      </w:tr>
      <w:tr>
        <w:tc>
          <w:tcPr>
            <w:tcW w:type="dxa" w:w="2160"/>
          </w:tcPr>
          <w:p>
            <w:r>
              <w:t>MainColor / legacy: MainCor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  <w:tc>
          <w:tcPr>
            <w:tcW w:type="dxa" w:w="2160"/>
          </w:tcPr>
          <w:p>
            <w:r>
              <w:t>Title color (default blue). The 'MainCor' spelling found in old docs is a typo the GUI auto-corrects.</w:t>
            </w:r>
          </w:p>
        </w:tc>
      </w:tr>
      <w:tr>
        <w:tc>
          <w:tcPr>
            <w:tcW w:type="dxa" w:w="2160"/>
          </w:tcPr>
          <w:p>
            <w:r>
              <w:t>MainRatioFontSize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Title font = font-size × 1.2 × ratio.</w:t>
            </w:r>
          </w:p>
        </w:tc>
      </w:tr>
      <w:tr>
        <w:tc>
          <w:tcPr>
            <w:tcW w:type="dxa" w:w="2160"/>
          </w:tcPr>
          <w:p>
            <w:r>
              <w:t>ShiftMainX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Horizontal nudge for the title (px).</w:t>
            </w:r>
          </w:p>
        </w:tc>
      </w:tr>
      <w:tr>
        <w:tc>
          <w:tcPr>
            <w:tcW w:type="dxa" w:w="2160"/>
          </w:tcPr>
          <w:p>
            <w:r>
              <w:t>ShiftMainY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Vertical nudge for the title (px); base is up/2 - 2×font-size.</w:t>
            </w:r>
          </w:p>
        </w:tc>
      </w:tr>
    </w:tbl>
    <w:p>
      <w:pPr>
        <w:pStyle w:val="Heading3"/>
      </w:pPr>
      <w:r>
        <w:t>Genome &amp; chromosomes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TotalGenomeNumber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Overrides the auto-detected genome count (advanced; normally inferred from GenomeInfoFileN / SetParaFor=GenomeN).</w:t>
            </w:r>
          </w:p>
        </w:tc>
      </w:tr>
      <w:tr>
        <w:tc>
          <w:tcPr>
            <w:tcW w:type="dxa" w:w="2160"/>
          </w:tcPr>
          <w:p>
            <w:r>
              <w:t>ZoomChr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&gt;1 enlarge, &lt;1 shrink. Must not be 0 (division by zero in the engine).</w:t>
            </w:r>
          </w:p>
        </w:tc>
      </w:tr>
      <w:tr>
        <w:tc>
          <w:tcPr>
            <w:tcW w:type="dxa" w:w="2160"/>
          </w:tcPr>
          <w:p>
            <w:r>
              <w:t>ChrWidth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Thickness of the chromosome bars (px).</w:t>
            </w:r>
          </w:p>
        </w:tc>
      </w:tr>
      <w:tr>
        <w:tc>
          <w:tcPr>
            <w:tcW w:type="dxa" w:w="2160"/>
          </w:tcPr>
          <w:p>
            <w:r>
              <w:t>LinkWidth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Vertical band between this genome and the next one (px).</w:t>
            </w:r>
          </w:p>
        </w:tc>
      </w:tr>
      <w:tr>
        <w:tc>
          <w:tcPr>
            <w:tcW w:type="dxa" w:w="2160"/>
          </w:tcPr>
          <w:p>
            <w:r>
              <w:t>ChrSpacing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Gap between neighbouring chromosomes of one genome (px).</w:t>
            </w:r>
          </w:p>
        </w:tc>
      </w:tr>
      <w:tr>
        <w:tc>
          <w:tcPr>
            <w:tcW w:type="dxa" w:w="2160"/>
          </w:tcPr>
          <w:p>
            <w:r>
              <w:t>NormalizedScale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0=share the global scale; 1=this genome keeps its own scale.</w:t>
            </w:r>
          </w:p>
        </w:tc>
      </w:tr>
      <w:tr>
        <w:tc>
          <w:tcPr>
            <w:tcW w:type="dxa" w:w="2160"/>
          </w:tcPr>
          <w:p>
            <w:r>
              <w:t>EndCurveRadian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Rounded-cap radius of chromosome ends (px). The engine clamps values &lt;2 back to 2.</w:t>
            </w:r>
          </w:p>
        </w:tc>
      </w:tr>
      <w:tr>
        <w:tc>
          <w:tcPr>
            <w:tcW w:type="dxa" w:w="2160"/>
          </w:tcPr>
          <w:p>
            <w:r>
              <w:t>RotateChr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Rotates the whole chromosome block about its start point; &gt;0 clockwise.</w:t>
            </w:r>
          </w:p>
        </w:tc>
      </w:tr>
      <w:tr>
        <w:tc>
          <w:tcPr>
            <w:tcW w:type="dxa" w:w="2160"/>
          </w:tcPr>
          <w:p>
            <w:r>
              <w:t>ShiftX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Translates this genome relative to the default layout (px); additive with MoveToX.</w:t>
            </w:r>
          </w:p>
        </w:tc>
      </w:tr>
      <w:tr>
        <w:tc>
          <w:tcPr>
            <w:tcW w:type="dxa" w:w="2160"/>
          </w:tcPr>
          <w:p>
            <w:r>
              <w:t>ShiftY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Translates this genome relative to the default layout (px); additive with MoveToY.</w:t>
            </w:r>
          </w:p>
        </w:tc>
      </w:tr>
      <w:tr>
        <w:tc>
          <w:tcPr>
            <w:tcW w:type="dxa" w:w="2160"/>
          </w:tcPr>
          <w:p>
            <w:r>
              <w:t>MoveToX / legacy: MoveX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Absolute canvas X of the chromosome start (combined with ShiftX). 'MoveX' in the manual is a typo.</w:t>
            </w:r>
          </w:p>
        </w:tc>
      </w:tr>
      <w:tr>
        <w:tc>
          <w:tcPr>
            <w:tcW w:type="dxa" w:w="2160"/>
          </w:tcPr>
          <w:p>
            <w:r>
              <w:t>MoveToY / legacy: MoveY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Absolute canvas Y of the chromosome start (combined with ShiftY). 'MoveY' in the manual is a typo.</w:t>
            </w:r>
          </w:p>
        </w:tc>
      </w:tr>
    </w:tbl>
    <w:p>
      <w:pPr>
        <w:pStyle w:val="Heading3"/>
      </w:pPr>
      <w:r>
        <w:t>Genome 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GenomeName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Italic genome label on the left. Defaults to the .len basename.</w:t>
            </w:r>
          </w:p>
        </w:tc>
      </w:tr>
      <w:tr>
        <w:tc>
          <w:tcPr>
            <w:tcW w:type="dxa" w:w="2160"/>
          </w:tcPr>
          <w:p>
            <w:r>
              <w:t>GenomeNameColor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Defaults to this genome's chromosome bar color.</w:t>
            </w:r>
          </w:p>
        </w:tc>
      </w:tr>
      <w:tr>
        <w:tc>
          <w:tcPr>
            <w:tcW w:type="dxa" w:w="2160"/>
          </w:tcPr>
          <w:p>
            <w:r>
              <w:t>GenomeNameSizeRatio / legacy: GenomeNameRatio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Label font = font-size × 1.4 × ratio. 'GenomeNameRatio' in old docs is a typo.</w:t>
            </w:r>
          </w:p>
        </w:tc>
      </w:tr>
      <w:tr>
        <w:tc>
          <w:tcPr>
            <w:tcW w:type="dxa" w:w="2160"/>
          </w:tcPr>
          <w:p>
            <w:r>
              <w:t>GenomeNameShiftX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Horizontal nudge of the genome label (px).</w:t>
            </w:r>
          </w:p>
        </w:tc>
      </w:tr>
      <w:tr>
        <w:tc>
          <w:tcPr>
            <w:tcW w:type="dxa" w:w="2160"/>
          </w:tcPr>
          <w:p>
            <w:r>
              <w:t>GenomeNameShiftY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Vertical nudge of the genome label (px).</w:t>
            </w:r>
          </w:p>
        </w:tc>
      </w:tr>
    </w:tbl>
    <w:p>
      <w:pPr>
        <w:pStyle w:val="Heading3"/>
      </w:pPr>
      <w:r>
        <w:t>Chromosome label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ChrNameShow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Draw the chromosome name above each bar.</w:t>
            </w:r>
          </w:p>
        </w:tc>
      </w:tr>
      <w:tr>
        <w:tc>
          <w:tcPr>
            <w:tcW w:type="dxa" w:w="2160"/>
          </w:tcPr>
          <w:p>
            <w:r>
              <w:t>ChrNameSizeRatio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Name font = font-size × 1.2 × ratio.</w:t>
            </w:r>
          </w:p>
        </w:tc>
      </w:tr>
      <w:tr>
        <w:tc>
          <w:tcPr>
            <w:tcW w:type="dxa" w:w="2160"/>
          </w:tcPr>
          <w:p>
            <w:r>
              <w:t>ChrNameColor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Defaults to this genome's chromosome bar color.</w:t>
            </w:r>
          </w:p>
        </w:tc>
      </w:tr>
      <w:tr>
        <w:tc>
          <w:tcPr>
            <w:tcW w:type="dxa" w:w="2160"/>
          </w:tcPr>
          <w:p>
            <w:r>
              <w:t>ChrNameShiftX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Horizontal nudge (px); additive with per-row values.</w:t>
            </w:r>
          </w:p>
        </w:tc>
      </w:tr>
      <w:tr>
        <w:tc>
          <w:tcPr>
            <w:tcW w:type="dxa" w:w="2160"/>
          </w:tcPr>
          <w:p>
            <w:r>
              <w:t>ChrNameShiftY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Vertical nudge (px); additive with per-row values.</w:t>
            </w:r>
          </w:p>
        </w:tc>
      </w:tr>
      <w:tr>
        <w:tc>
          <w:tcPr>
            <w:tcW w:type="dxa" w:w="2160"/>
          </w:tcPr>
          <w:p>
            <w:r>
              <w:t>ChrNameRotate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Extra rotation added on top of RotateChr.</w:t>
            </w:r>
          </w:p>
        </w:tc>
      </w:tr>
    </w:tbl>
    <w:p>
      <w:pPr>
        <w:pStyle w:val="Heading3"/>
      </w:pPr>
      <w:r>
        <w:t>Coordinate axis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ShowCoordinates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Draw the coordinate scale for this genome.</w:t>
            </w:r>
          </w:p>
        </w:tc>
      </w:tr>
      <w:tr>
        <w:tc>
          <w:tcPr>
            <w:tcW w:type="dxa" w:w="2160"/>
          </w:tcPr>
          <w:p>
            <w:r>
              <w:t>ScaleNum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Number of axis tick divisions (N+1 ticks).</w:t>
            </w:r>
          </w:p>
        </w:tc>
      </w:tr>
      <w:tr>
        <w:tc>
          <w:tcPr>
            <w:tcW w:type="dxa" w:w="2160"/>
          </w:tcPr>
          <w:p>
            <w:r>
              <w:t>ScaleUpDown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The engine only recognises "Up" (ticks above the bar); unset = above for genome 1, below otherwise.</w:t>
            </w:r>
          </w:p>
        </w:tc>
      </w:tr>
      <w:tr>
        <w:tc>
          <w:tcPr>
            <w:tcW w:type="dxa" w:w="2160"/>
          </w:tcPr>
          <w:p>
            <w:r>
              <w:t>ScaleUnit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Target tick spacing in bp; the derived count must land in 2..100 or the engine falls back to ScaleNum.</w:t>
            </w:r>
          </w:p>
        </w:tc>
      </w:tr>
      <w:tr>
        <w:tc>
          <w:tcPr>
            <w:tcW w:type="dxa" w:w="2160"/>
          </w:tcPr>
          <w:p>
            <w:r>
              <w:t>LabelUnit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Axis suffix. Auto M/K/b by default, or any custom string.</w:t>
            </w:r>
          </w:p>
        </w:tc>
      </w:tr>
      <w:tr>
        <w:tc>
          <w:tcPr>
            <w:tcW w:type="dxa" w:w="2160"/>
          </w:tcPr>
          <w:p>
            <w:r>
              <w:t>LablefontsizeRatio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Axis label font = ratio × font-size. Note the engine's 'Lable' spelling.</w:t>
            </w:r>
          </w:p>
        </w:tc>
      </w:tr>
      <w:tr>
        <w:tc>
          <w:tcPr>
            <w:tcW w:type="dxa" w:w="2160"/>
          </w:tcPr>
          <w:p>
            <w:r>
              <w:t>LablePrecision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Decimal places in axis labels (default 1). Real but undocumented in the manual.</w:t>
            </w:r>
          </w:p>
        </w:tc>
      </w:tr>
      <w:tr>
        <w:tc>
          <w:tcPr>
            <w:tcW w:type="dxa" w:w="2160"/>
          </w:tcPr>
          <w:p>
            <w:r>
              <w:t>RotateAxisText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Extra rotation of the axis text on top of RotateChr.</w:t>
            </w:r>
          </w:p>
        </w:tc>
      </w:tr>
      <w:tr>
        <w:tc>
          <w:tcPr>
            <w:tcW w:type="dxa" w:w="2160"/>
          </w:tcPr>
          <w:p>
            <w:r>
              <w:t>NoShowLabel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Hides the axis numbers whenever the key exists (ticks stay). Even 0 triggers it.</w:t>
            </w:r>
          </w:p>
        </w:tc>
      </w:tr>
    </w:tbl>
    <w:p>
      <w:pPr>
        <w:pStyle w:val="Heading3"/>
      </w:pPr>
      <w:r>
        <w:t>Regions &amp; zoom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SpeRegionFile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Region highlight/annotation file (.gz ok). Format: chr start end [attrs]. Rows accept SN=text or CDS/UTR/mRNA keywords.</w:t>
            </w:r>
          </w:p>
        </w:tc>
      </w:tr>
      <w:tr>
        <w:tc>
          <w:tcPr>
            <w:tcW w:type="dxa" w:w="2160"/>
          </w:tcPr>
          <w:p>
            <w:r>
              <w:t>ZoomRegion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Show a single chromosome region chr:start:end (must lie inside that chromosome).</w:t>
            </w:r>
          </w:p>
        </w:tc>
      </w:tr>
      <w:tr>
        <w:tc>
          <w:tcPr>
            <w:tcW w:type="dxa" w:w="2160"/>
          </w:tcPr>
          <w:p>
            <w:r>
              <w:t>SpeRegionWidthRatio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Bar half-height multiplier for special regions; per-row values multiply.</w:t>
            </w:r>
          </w:p>
        </w:tc>
      </w:tr>
    </w:tbl>
    <w:p>
      <w:pPr>
        <w:pStyle w:val="Heading3"/>
      </w:pPr>
      <w:r>
        <w:t>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StyleUpDown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Case-sensitive: UpDown/DownUp/UpUp/DownDown/line. Unset = auto by genome order.</w:t>
            </w:r>
          </w:p>
        </w:tc>
      </w:tr>
      <w:tr>
        <w:tc>
          <w:tcPr>
            <w:tcW w:type="dxa" w:w="2160"/>
          </w:tcPr>
          <w:p>
            <w:r>
              <w:t>lineType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"line" forces straight links (equivalent to StyleUpDown=line, higher priority).</w:t>
            </w:r>
          </w:p>
        </w:tc>
      </w:tr>
      <w:tr>
        <w:tc>
          <w:tcPr>
            <w:tcW w:type="dxa" w:w="2160"/>
          </w:tcPr>
          <w:p>
            <w:r>
              <w:t>Reverse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Swaps the start/end attachment points of the ribbon.</w:t>
            </w:r>
          </w:p>
        </w:tc>
      </w:tr>
      <w:tr>
        <w:tc>
          <w:tcPr>
            <w:tcW w:type="dxa" w:w="2160"/>
          </w:tcPr>
          <w:p>
            <w:r>
              <w:t>HeightRatio / legacy: HightRation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Scales the link band height; negative values are legal. The 'HightRation' typo in old docs is auto-corrected.</w:t>
            </w:r>
          </w:p>
        </w:tc>
      </w:tr>
      <w:tr>
        <w:tc>
          <w:tcPr>
            <w:tcW w:type="dxa" w:w="2160"/>
          </w:tcPr>
          <w:p>
            <w:r>
              <w:t>OutsideWidthDeta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-2.0</w:t>
            </w:r>
          </w:p>
        </w:tc>
        <w:tc>
          <w:tcPr>
            <w:tcW w:type="dxa" w:w="2160"/>
          </w:tcPr>
          <w:p>
            <w:r>
              <w:t>Gap between ribbon and chromosome bar (px); default -2.</w:t>
            </w:r>
          </w:p>
        </w:tc>
      </w:tr>
      <w:tr>
        <w:tc>
          <w:tcPr>
            <w:tcW w:type="dxa" w:w="2160"/>
          </w:tcPr>
          <w:p>
            <w:r>
              <w:t>ShortLinkLineRefA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Shortens the ribbon at the RefA end (px); negative lengthens.</w:t>
            </w:r>
          </w:p>
        </w:tc>
      </w:tr>
      <w:tr>
        <w:tc>
          <w:tcPr>
            <w:tcW w:type="dxa" w:w="2160"/>
          </w:tcPr>
          <w:p>
            <w:r>
              <w:t>ShortLinkLineRefB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Shortens the ribbon at the RefB end (px); negative lengthens.</w:t>
            </w:r>
          </w:p>
        </w:tc>
      </w:tr>
    </w:tbl>
    <w:p>
      <w:pPr>
        <w:pStyle w:val="Heading3"/>
      </w:pPr>
      <w:r>
        <w:t>Style (SVG)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fill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Genome: chromosome bar fill; link: ribbon fill (overrides the palette).</w:t>
            </w:r>
          </w:p>
        </w:tc>
      </w:tr>
      <w:tr>
        <w:tc>
          <w:tcPr>
            <w:tcW w:type="dxa" w:w="2160"/>
          </w:tcPr>
          <w:p>
            <w:r>
              <w:t>stroke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Genome: bar outline; link: ribbon outline.</w:t>
            </w:r>
          </w:p>
        </w:tc>
      </w:tr>
      <w:tr>
        <w:tc>
          <w:tcPr>
            <w:tcW w:type="dxa" w:w="2160"/>
          </w:tcPr>
          <w:p>
            <w:r>
              <w:t>stroke-width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Outline width (px), default 1; 0 = no outline.</w:t>
            </w:r>
          </w:p>
        </w:tc>
      </w:tr>
      <w:tr>
        <w:tc>
          <w:tcPr>
            <w:tcW w:type="dxa" w:w="2160"/>
          </w:tcPr>
          <w:p>
            <w:r>
              <w:t>stroke-opacity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0..1. Genome default 1; link default 0.92.</w:t>
            </w:r>
          </w:p>
        </w:tc>
      </w:tr>
      <w:tr>
        <w:tc>
          <w:tcPr>
            <w:tcW w:type="dxa" w:w="2160"/>
          </w:tcPr>
          <w:p>
            <w:r>
              <w:t>fill-opacity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0..1. Genome default 1; link default 0.92.</w:t>
            </w:r>
          </w:p>
        </w:tc>
      </w:tr>
    </w:tbl>
    <w:p>
      <w:pPr>
        <w:pStyle w:val="Heading3"/>
      </w:pPr>
      <w:r>
        <w:t>Color palettes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GenomeColorBrewer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Dark2</w:t>
            </w:r>
          </w:p>
        </w:tc>
        <w:tc>
          <w:tcPr>
            <w:tcW w:type="dxa" w:w="2160"/>
          </w:tcPr>
          <w:p>
            <w:r>
              <w:t>Palette for chromosome bars (36 built-in RColorBrewer names). Unknown names crash the engine.</w:t>
            </w:r>
          </w:p>
        </w:tc>
      </w:tr>
      <w:tr>
        <w:tc>
          <w:tcPr>
            <w:tcW w:type="dxa" w:w="2160"/>
          </w:tcPr>
          <w:p>
            <w:r>
              <w:t>ChrColorBrewer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Paired</w:t>
            </w:r>
          </w:p>
        </w:tc>
        <w:tc>
          <w:tcPr>
            <w:tcW w:type="dxa" w:w="2160"/>
          </w:tcPr>
          <w:p>
            <w:r>
              <w:t>Palette for link ribbons (indexed by chr row number; default Paired).</w:t>
            </w:r>
          </w:p>
        </w:tc>
      </w:tr>
      <w:tr>
        <w:tc>
          <w:tcPr>
            <w:tcW w:type="dxa" w:w="2160"/>
          </w:tcPr>
          <w:p>
            <w:r>
              <w:t>SpeRegionColorBrewer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Dark2</w:t>
            </w:r>
          </w:p>
        </w:tc>
        <w:tc>
          <w:tcPr>
            <w:tcW w:type="dxa" w:w="2160"/>
          </w:tcPr>
          <w:p>
            <w:r>
              <w:t>Palette for special-region highlights (default Dark2).</w:t>
            </w:r>
          </w:p>
        </w:tc>
      </w:tr>
    </w:tbl>
    <w:p>
      <w:pPr>
        <w:pStyle w:val="Heading2"/>
      </w:pPr>
      <w:r>
        <w:t>6. Color palettes</w:t>
      </w:r>
    </w:p>
    <w:p>
      <w:r>
        <w:t>The engine ships 35 built-in RColorBrewer palettes (preview them in the GUI picker). Three keys control them: GenomeColorBrewer (chromosome bars), ChrColorBrewer (link ribbons, indexed by chromosome row), SpeRegionColorBrewer (special regions). Unknown names crash the engine; the GUI validates them before running.</w:t>
      </w:r>
    </w:p>
    <w:p>
      <w:pPr>
        <w:pStyle w:val="Heading2"/>
      </w:pPr>
      <w:r>
        <w:t>7. FAQ</w:t>
      </w:r>
    </w:p>
    <w:p>
      <w:pPr>
        <w:pStyle w:val="Heading3"/>
      </w:pPr>
      <w:r>
        <w:t>Run fails with no-svg?</w:t>
      </w:r>
    </w:p>
    <w:p>
      <w:r>
        <w:t>Check the engine output in the run log. Common causes: missing files, too few columns in .len/.link, or a ZoomRegion outside the chromosome — the GUI pre-check catches most of these.</w:t>
      </w:r>
    </w:p>
    <w:p>
      <w:pPr>
        <w:pStyle w:val="Heading3"/>
      </w:pPr>
      <w:r>
        <w:t>The figure changed after opening an old conf — is that right?</w:t>
      </w:r>
    </w:p>
    <w:p>
      <w:r>
        <w:t>If the conf contains legacy misspellings (HightRation, MainCor, …) the engine silently ignored them; the GUI corrects them and lists every rewrite in the log, so the figure follows the author's intent.</w:t>
      </w:r>
    </w:p>
    <w:p>
      <w:pPr>
        <w:pStyle w:val="Heading3"/>
      </w:pPr>
      <w:r>
        <w:t>Does it run outside Linux/macOS?</w:t>
      </w:r>
    </w:p>
    <w:p>
      <w:r>
        <w:t>On Windows, unzip portable Strawberry Perl into gui_runtime/perl/ (see the release notes) or install Perl normally and double-click NGenomeSynGUI.bat.</w:t>
      </w:r>
    </w:p>
    <w:p>
      <w:pPr>
        <w:pStyle w:val="Heading2"/>
      </w:pPr>
      <w:r>
        <w:t>8. Citation &amp; contact</w:t>
      </w:r>
    </w:p>
    <w:p>
      <w:pPr>
        <w:pStyle w:val="Heading3"/>
      </w:pPr>
      <w:r>
        <w:t>Cite the article</w:t>
      </w:r>
    </w:p>
    <w:p>
      <w:r>
        <w:t>If you use NGenomeSyn in your work, please cite:</w:t>
      </w:r>
    </w:p>
    <w:p>
      <w:r>
        <w:rPr>
          <w:rFonts w:ascii="Consolas" w:hAnsi="Consolas"/>
          <w:sz w:val="18"/>
        </w:rPr>
        <w:t>He W, Yang J, Jing Y, Xu L, Yu K, Fang X. NGenomeSyn: an easy-to-use and flexible tool for publication-ready visualization of syntenic relationships across multiple genomes. Bioinformatics, 2023, btad121.</w:t>
        <w:br/>
        <w:t>https://doi.org/10.1093/bioinformatics/btad121</w:t>
      </w:r>
    </w:p>
    <w:p>
      <w:r>
        <w:rPr>
          <w:i/>
        </w:rPr>
        <w:t>See the Citation section of the project README for the full article details.</w:t>
      </w:r>
    </w:p>
    <w:p>
      <w:pPr>
        <w:pStyle w:val="Heading3"/>
      </w:pPr>
      <w:r>
        <w:t>Contact</w:t>
      </w:r>
    </w:p>
    <w:p>
      <w:r>
        <w:rPr>
          <w:rFonts w:ascii="Consolas" w:hAnsi="Consolas"/>
          <w:sz w:val="18"/>
        </w:rPr>
        <w:t>https://github.com/hewm2008/NGenomeSyn</w:t>
      </w:r>
    </w:p>
    <w:p>
      <w:r>
        <w:t>E-mail: hewm2008@gmail.com / hewm2008@qq.com    QQ group: 125293663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