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ESG등급 – 신용위험 재무적 타당성 EDA</w:t>
      </w:r>
    </w:p>
    <w:p>
      <w:pPr>
        <w:spacing w:after="300"/>
      </w:pPr>
      <w:r>
        <w:rPr>
          <w:color w:val="52514E"/>
          <w:sz w:val="21"/>
          <w:szCs w:val="21"/>
        </w:rPr>
        <w:t xml:space="preserve">실제 데이터 기반 통합 정리본 (확장판 — E·S 세부분석, G-이사회 분석 포함)  ·  최종 갱신 2026-08-24  ·  작성: 혜원 · Claude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CA30C" w:sz="12"/>
              <w:left w:val="single" w:color="0CA30C" w:sz="12"/>
              <w:bottom w:val="single" w:color="0CA30C" w:sz="12"/>
              <w:right w:val="single" w:color="0CA30C" w:sz="12"/>
            </w:tcBorders>
            <w:shd w:fill="E8F3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✅ 데이터 정정 — 두 소스 모두 실제 데이터로 확인됨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1"/>
                <w:szCs w:val="21"/>
              </w:rPr>
              <w:t xml:space="preserve">credit_stage_panel.csv를 합성 데이터로 오인해 폐기했었으나, 노트북(esg_fund_credit_hypothesis.ipynb) 원본 확인 결과 신용상태 단계·상태·재무비율은 전부 실제 DART 데이터였습니다(노트북 자체 표기: full_collection_result.csv·capital_impairment_result.csv 모두 '실제 데이터 그대로 사용').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1"/>
                <w:szCs w:val="21"/>
              </w:rPr>
              <w:t xml:space="preserve">합성인 것은 ESG펀드 보유종목·NAV·벤치마크(별도 가설용)와 신용사건 1·2단계의 정확한 날짜뿐이며, 이번 분석에 쓰인 stage/status/부채비율/risk_score는 영향받지 않습니다.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이 보고서는 서로 독립된 두 개의 실제 데이터 신호 — ① DART 기반 신용위험 사다리, ② KCGS 등급조정 이벤트 — 를 모두 사용한 통합본입니다.</w:t>
            </w:r>
          </w:p>
        </w:tc>
      </w:tr>
    </w:tbl>
    <w:p>
      <w:pPr>
        <w:pStyle w:val="Heading1"/>
        <w:spacing w:after="150" w:before="300"/>
      </w:pPr>
      <w:r>
        <w:t xml:space="preserve">1. 배경 및 목적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팀 합의 사항인 'ESG등급이 실제로 의미 있는 신호인가'를 재무적 타당성(신용위험) 축에서 검증했다. ESG등급이 높은 기업일수록 신용위험이 낮다는 통념을 실제 데이터로 확인하는 것이 목표다.</w:t>
      </w:r>
    </w:p>
    <w:p>
      <w:pPr>
        <w:pStyle w:val="Heading1"/>
        <w:spacing w:after="150" w:before="300"/>
      </w:pPr>
      <w:r>
        <w:t xml:space="preserve">2. 데이터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  <w:gridCol w:w="1400"/>
      </w:tblGrid>
      <w:tr>
        <w:tc>
          <w:tcPr>
            <w:tcW w:type="dxa" w:w="22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42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표본</w:t>
            </w:r>
          </w:p>
        </w:tc>
        <w:tc>
          <w:tcPr>
            <w:tcW w:type="dxa" w:w="14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KCGS ESG등급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ESG·환경(E)·사회(S)·지배구조(G) 등급, 등급조정 이벤트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1,091개사 (2025)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신용위험 사다리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정상→위험징후→신용등급하락→부도, 부채비율·유동비율·자본총계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3,806개사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조인 결과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두 소스를 종목코드로 조인, 등급없음 제외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1,025개사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150" w:before="300"/>
      </w:pPr>
      <w:r>
        <w:t xml:space="preserve">3. 핵심 발견</w:t>
      </w:r>
    </w:p>
    <w:p>
      <w:pPr>
        <w:pStyle w:val="Heading2"/>
        <w:spacing w:after="120" w:before="240"/>
      </w:pPr>
      <w:r>
        <w:t xml:space="preserve">발견 1 — ESG등급이 높을수록 위험징후 단계 비중이 오히려 높다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D등급 정상 67.5%·위험징후 30.5% vs A등급 정상 55.4%·위험징후 43.7%. 우량군(A이상) 위험비율 44.2% vs 비우량군(B+이하) 35.3%, 오즈비 1.45 (카이제곱 p=0.017). ESG등급 전체를 순위상관으로 봐도 양(+)의 상관 — r=0.083, p=0.0077. 환경(r=0.107, p=0.0006), 사회(r=0.073, p=0.019)에서도 유의. 지배구조만 유의하지 않음(r=0.048, p=0.126).</w:t>
      </w:r>
    </w:p>
    <w:p>
      <w:pPr>
        <w:pStyle w:val="Heading2"/>
        <w:spacing w:after="120" w:before="240"/>
      </w:pPr>
      <w:r>
        <w:t xml:space="preserve">발견 2 — 기업 규모를 통제해도 방향이 유지된다</w:t>
      </w:r>
    </w:p>
    <w:p>
      <w:pPr>
        <w:spacing w:after="200"/>
        <w:jc w:val="center"/>
      </w:pPr>
      <w:r>
        <w:drawing>
          <wp:inline distT="0" distB="0" distL="0" distR="0">
            <wp:extent cx="4953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ESG등급은 기업 규모(자본총계)와 매우 강하게 상관돼 있다 — Spearman r=0.64, p&lt;0.0001. 규모가 클수록 ESG등급도 높다는 뜻으로, 대기업이 공시·컴플라이언스 자원이 많아 등급이 잘 나오는 구조적 편향으로 해석된다. 그런데 로지스틱회귀로 규모를 통제한 뒤에도 ESG등급의 계수는 여전히 양(+)이고 유의하다 (계수 +0.188, p=0.0001; log(자본총계) 계수는 -0.128, p=0.002로 예상대로 음수). 즉 '대기업이라서 위험이 낮다'는 효과는 확인되지만, 그와 별개로 'ESG등급이 높을수록 위험징후가 더 많다'는 패턴은 규모 효과만으로 완전히 설명되지 않는다.</w:t>
      </w:r>
    </w:p>
    <w:p>
      <w:pPr>
        <w:pStyle w:val="Heading2"/>
        <w:spacing w:after="120" w:before="240"/>
      </w:pPr>
      <w:r>
        <w:t xml:space="preserve">발견 3 — 심각한 신용사건(등급하락·부도)은 표본이 매우 작고, 일부는 데이터 품질 의심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2600"/>
      </w:tblGrid>
      <w:tr>
        <w:tc>
          <w:tcPr>
            <w:tcW w:type="dxa" w:w="26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기업명</w:t>
            </w:r>
          </w:p>
        </w:tc>
        <w:tc>
          <w:tcPr>
            <w:tcW w:type="dxa" w:w="14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ESG등급</w:t>
            </w:r>
          </w:p>
        </w:tc>
        <w:tc>
          <w:tcPr>
            <w:tcW w:type="dxa" w:w="22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shd w:fill="1A1A1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STX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범양건영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한창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국보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다원시스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인스코비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2 신용등급하락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완전자본잠식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한일현대시멘트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B+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3 부도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국세청 폐업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코오롱ENP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B+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3 부도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국세청 폐업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HD현대인프라코어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3 부도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국세청 폐업 ⚠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HD현대미포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3 부도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국세청 폐업 ⚠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/>
      </w:pPr>
      <w:r>
        <w:rPr>
          <w:b w:val="false"/>
          <w:bCs w:val="false"/>
          <w:i/>
          <w:iCs/>
          <w:color w:val="52514E"/>
        </w:rPr>
        <w:t xml:space="preserve">⚠ 표시된 두 곳(HD현대인프라코어·HD현대미포)은 실제로는 존속 중인 대형 조선·중공업 계열사다. 계열 편입·사명 변경 과정에서 옛 법인의 DART 등록이 '폐업' 처리되고 신법인이 별도로 등록됐을 가능성이 높다 — 진짜 부도가 아니라 행정상 코드 변경일 개연성이 크다. 이 둘을 제외하면 심각 사건은 D등급 6건·B+등급 2건뿐으로, ESG등급이 높을수록 심각 사건이 적다는 원래 기대와 일치하는 방향이지만 표본이 너무 작아(n=8) 통계적으로 결론 내릴 수 없다.</w:t>
      </w:r>
    </w:p>
    <w:p>
      <w:pPr>
        <w:pStyle w:val="Heading2"/>
        <w:spacing w:after="120" w:before="240"/>
      </w:pPr>
      <w:r>
        <w:t xml:space="preserve">발견 4 — 실제 공시된 등급조정 이벤트에서도 같은 패턴이 재현된다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KCGS가 연중 발생한 거버넌스·사회 이슈로 등급을 하향 조정한 실제 이벤트(53개사, 5.2%)를 봐도, 조정을 받은 기업이 오히려 전체·환경·사회·지배구조 등급 모두 유의하게 더 높다(Mann-Whitney p&lt;0.0001~0.01). 조정을 받은 축이 아닌 다른 축으로 교차검증해도 같은 방향 — 순환성 문제가 아니다. 명단은 삼성물산·현대자동차·신한지주·KB금융·CJ그룹 계열사 등 최상위 대기업에 편중돼 있다.</w:t>
      </w:r>
    </w:p>
    <w:p>
      <w:pPr>
        <w:pStyle w:val="Heading2"/>
        <w:spacing w:after="120" w:before="240"/>
      </w:pPr>
      <w:r>
        <w:t xml:space="preserve">발견 5 — E(환경)·S(사회) 등급 세부분석: 역상관을 주도하는 건 환경(E)이고, 업종에 따라 방향이 갈린다</w:t>
      </w:r>
    </w:p>
    <w:p>
      <w:pPr>
        <w:spacing w:after="20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E·S 등급을 나눠 봐도 같은 역방향 패턴이 반복된다 — 환경 A등급 위험징후 46.4% vs D등급 30.4%, 사회 A등급 40.9% vs D등급 31.0%. 그런데 환경·사회·지배구조를 동시에 투입한 로지스틱회귀에서는 환경(E)만 유의하게 남는다(계수 +0.320, p=0.001). 사회(-0.063, p=0.436)와 지배구조(-0.036, p=0.584)는 비유의 — 지금까지 관찰된 'ESG등급 역상관'은 사실상 환경 등급이 주도하고 있다는 뜻이다.</w:t>
      </w:r>
    </w:p>
    <w:p>
      <w:pPr>
        <w:spacing w:after="20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업종별(KSIC 중분류)로 나누면 방향이 갈린다. 제조업(n=625)·금융보험(n=113)·도소매(n=76)는 규모를 통제해도 역방향 패턴이 재현되지만(편상관 양수), 정보통신(n=74)은 반대로 음(-)의 편상관 — 등급이 좋을수록 위험이 낮은 '정상적' 방향이 나온다. 표본의 다수를 차지하는 업종이 전체 역상관을 주도하는 구조로 보이며, 업종 구성 자체가 교란요인일 가능성이 있다.</w:t>
      </w:r>
    </w:p>
    <w:p>
      <w:pPr>
        <w:pStyle w:val="Heading2"/>
        <w:spacing w:after="120" w:before="240"/>
      </w:pPr>
      <w:r>
        <w:t xml:space="preserve">발견 6 — G(지배구조) 등급×이사회 구성: 등급은 타당한데, 그 속성이 위험을 낮추지는 않는다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DART 공시(독립·사외이사 현황)로 실제 이사회 구성을 직접 수집해 검증한 결과, G등급은 실제 이사회 독립성(사외이사 비율)을 상당히 잘 반영한다 — Spearman rho=0.47(p≈1×10⁻⁵⁶), 규모를 통제해도 편상관 r=0.29로 유지. D등급 평균 사외이사비율 36.9%에서 A+등급 71.1%까지 등급이 오를수록 단조 증가한다. 지금까지 살펴본 ESG 하위지표 중 유일하게 '등급이 실제로 측정하려는 속성을 잘 측정'하는 사례다.</w:t>
      </w:r>
    </w:p>
    <w:p>
      <w:pPr>
        <w:spacing w:after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그러나 그 속성(사외이사 비율) 자체가 신용위험을 낮추지는 않는다. 단순상관은 약하고 비유의(rho=0.056, p=0.075)하지만, 규모를 통제한 로지스틱회귀(부실여부~사외이사비율+log(자본총계))에서는 오히려 사외이사비율 계수가 유의하게 양(+)이다(+1.276, p=0.006) — 규모를 통제하니 억눌려 있던 역방향 신호가 드러난 것이다. 즉 문제는 KCGS 등급 자체의 측정 오류가 아니라, 'ESG 우수성 → 낮은 신용위험'이라는 전제 자체에 있을 가능성이 높다.</w:t>
      </w:r>
    </w:p>
    <w:p>
      <w:pPr>
        <w:pStyle w:val="Heading1"/>
        <w:spacing w:after="150" w:before="300"/>
      </w:pPr>
      <w:r>
        <w:t xml:space="preserve">4. 종합 해석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서로 독립된 세 축의 검증 — ① DART 기반 신용위험 사다리, ② KCGS 등급조정 공시, ③ DART 공시 기반 실제 이사회 구성 — 이 모두 같은 결론으로 수렴한다는 점이 이번 확장 분석에서 가장 주목할 부분이다. 'ESG등급이 높을수록 신용·거버넌스 위험이 낮다'는 단순 가설은 이 데이터에서 지지되지 않고, 오히려 반대 방향의 유의한 상관이 반복 관찰됐다.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특히 G-이사회 분석은 중요한 구분을 하나 추가한다 — KCGS 등급 체계 자체는 내적으로 타당하다(G등급은 실제 사외이사 비율을 잘 반영하고, 로지스틱회귀에서는 환경(E) 등급이 뚜렷한 단일 신호로 남는다). 문제는 등급의 측정 오류가 아니라, '측정된 ESG 속성이 실제로 낮은 신용위험으로 이어지는가'라는 전제 자체에 있다.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두 가지 경쟁 해석이 가능하다.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가설 A (역상관 실재): ESG평가에 반영되지 않는 다른 경로로, 등급 높은 기업이 실제로 더 위험한 의사결정을 하거나 더 복잡한 리스크에 노출된다.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가설 B (관측·규모 편향): ESG등급은 기업 규모와 강하게 상관되고(r=0.64), 대기업일수록 위험징후 기준(부채비율 등)에 절대 규모로 걸리기 쉽고 언론·감독 노출도 커서 이벤트가 더 잘 '포착'된다. G-이사회 분석에서도 이사회 규모·사외이사비율 모두 기업 규모와 강하게 상관됨을 재확인했다(각각 rho=0.43, rho=0.53).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로지스틱회귀에서 규모를 통제한 뒤에도 ESG등급·환경등급·사외이사비율 효과가 유의하게 남는다는 점은 가설 B만으로 전부 설명되지 않는다는 뜻이지만, 위험징후 판정 기준 자체(부채비율 등)에 이미 규모 편향이 내재할 수 있어 완전한 인과 해석은 이르다. 결론적으로 '고평점 = 저위험'이라는 단순 내러티브는 이 데이터로 뒷받침되지 않는다는 것이 가장 정직한 요약이다.</w:t>
      </w:r>
    </w:p>
    <w:p>
      <w:pPr>
        <w:pStyle w:val="Heading1"/>
        <w:spacing w:after="150" w:before="300"/>
      </w:pPr>
      <w:r>
        <w:t xml:space="preserve">5. 이 분석의 한계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단면(2025년 한 시점) 데이터라 등급이 위험을 '예측'하는지, 이미 반영된 결과인지 시간 순서를 엄밀히 분리하기 어렵다.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'위험징후' 단계는 재무비율 기준이라 규모 편향에 취약할 수 있다(기존 분석에서 부채비율 단독의 폐업 예측력이 AUC≈0.5로 약하다는 점도 참고).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심각 신용사건(2·3단계) 표본이 10건으로 매우 작고, 그중 2건은 데이터 품질 문제 의심(발견 3).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KCGS 등급조정 이벤트는 부도확률이 아니라 거버넌스·사회 이슈 공시이며, 특정 시점·계열사 단위로 몰려 독립관측 가정이 흔들린다.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이사회 구성 데이터는 2025년 사업보고서 1개년 단면이며, 수집 1,021개사 중 1건(대동전자, 사외이사수&gt;이사총수)은 공시 오류로 보여 분석에서 제외했다.</w:t>
      </w:r>
    </w:p>
    <w:p>
      <w:pPr>
        <w:pStyle w:val="Heading1"/>
        <w:spacing w:after="150" w:before="300"/>
      </w:pPr>
      <w:r>
        <w:t xml:space="preserve">6. 다음 단계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① 다년치 PIT 재무제표 패널(M12) 구축 후 시차구조 검증 — 등급이 위험을 선행하는지, 위험이 등급에 반영된 결과인지 분리.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② 기업 규모를 더 정교하게 통제(업종 내 규모 분위 등)해 가설 A/B를 재분리.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③ HD현대미포·HD현대인프라코어 등 '폐업' 오분류 의심 사례를 DART 개별 조회로 검증, 전체 3,806개사에 유사 사례 있는지 점검.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④ 신용평가 3사 등급변동 이력(유료, 기존 병목 #4) 확보 시 본 분석과 비교.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⑤ '위험징후' 판정 자체가 공시·감시 강도에 좌우되는 관측 편향인지 검증 — 대기업일수록 위험 신호가 더 잘 '포착'되는 것인지, 실제 신용도가 더 낮은 것인지 분리 (G-이사회 분석에서 제기).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⑥ 정보통신 업종만 역방향 패턴이 재현되지 않은 이유 규명 — 업종 특성 때문인지 표본 특이성인지 확인.</w:t>
      </w:r>
    </w:p>
    <w:p>
      <w:pPr>
        <w:pStyle w:val="Heading1"/>
        <w:spacing w:after="150" w:before="300"/>
      </w:pPr>
      <w:r>
        <w:t xml:space="preserve">부록</w:t>
      </w:r>
    </w:p>
    <w:p>
      <w:pPr>
        <w:spacing w:after="160"/>
      </w:pPr>
      <w:r>
        <w:rPr>
          <w:b w:val="false"/>
          <w:bCs w:val="false"/>
          <w:i/>
          <w:iCs/>
          <w:color w:val="52514E"/>
        </w:rPr>
        <w:t xml:space="preserve">KCGS 등급조정 이벤트 발생 기업 전체 명단(53개사)은 별첨 CSV(등급조정_기업명단.csv), 조인된 원자료는 merged_esg_credit_REAL.csv 참고. 업종 태그가 붙은 E/S 분석 원자료는 merged_esg_credit_REAL_with_sector.csv, 이사회 구성 원자료는 board_composition_RAW.csv·merged_esg_credit_board_REAL.csv 참고 (모두 GitHub eda_credit_risk/ 폴더).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49f4c9cc7cfdb1d568fe3d753bd6db4ab6f185.png"/><Relationship Id="rId8" Type="http://schemas.openxmlformats.org/officeDocument/2006/relationships/image" Target="media/89e680c85f38983a3abceae430f39f6ad4e92770.png"/><Relationship Id="rId9" Type="http://schemas.openxmlformats.org/officeDocument/2006/relationships/image" Target="media/b31d4919c8c47db4568df9b880b3959a55dd1633.png"/><Relationship Id="rId10" Type="http://schemas.openxmlformats.org/officeDocument/2006/relationships/image" Target="media/b4901512f622f4a4dae2bd627e17760a8cbf38f1.png"/><Relationship Id="rId11" Type="http://schemas.openxmlformats.org/officeDocument/2006/relationships/image" Target="media/68cd9cd75af5244e5b0defeab934c209a0f7d0da.png"/><Relationship Id="rId12" Type="http://schemas.openxmlformats.org/officeDocument/2006/relationships/image" Target="media/b3900c89dc3350f67be11ec0a159d8bae315dab2.png"/><Relationship Id="rId13" Type="http://schemas.openxmlformats.org/officeDocument/2006/relationships/image" Target="media/aeec88918376acf2f805b1508fb7d50d0cfc6af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2026-08-24T08:04:36.520Z</dcterms:created>
  <dcterms:modified xsi:type="dcterms:W3CDTF">2026-08-24T08:04:36.533Z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