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b/>
          <w:bCs/>
          <w:sz w:val="40"/>
          <w:szCs w:val="40"/>
        </w:rPr>
        <w:t xml:space="preserve">ESG등급 – 신용위험 재무적 타당성 EDA</w:t>
      </w:r>
    </w:p>
    <w:p>
      <w:pPr>
        <w:spacing w:after="300"/>
      </w:pPr>
      <w:r>
        <w:rPr>
          <w:color w:val="52514E"/>
          <w:sz w:val="21"/>
          <w:szCs w:val="21"/>
        </w:rPr>
        <w:t xml:space="preserve">실제 데이터 기반 통합 정리본 (최종)  ·  작성일 2026-08-24  ·  작성: 혜원 · Claude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pct" w:w="100%"/>
            <w:tcBorders>
              <w:top w:val="single" w:color="0CA30C" w:sz="12"/>
              <w:left w:val="single" w:color="0CA30C" w:sz="12"/>
              <w:bottom w:val="single" w:color="0CA30C" w:sz="12"/>
              <w:right w:val="single" w:color="0CA30C" w:sz="12"/>
            </w:tcBorders>
            <w:shd w:fill="E8F3EC" w:val="clear"/>
            <w:tcMar>
              <w:top w:type="dxa" w:w="150"/>
              <w:left w:type="dxa" w:w="200"/>
              <w:bottom w:type="dxa" w:w="150"/>
              <w:right w:type="dxa" w:w="200"/>
            </w:tcMar>
          </w:tcPr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✅ 데이터 정정 — 두 소스 모두 실제 데이터로 확인됨</w:t>
            </w:r>
          </w:p>
          <w:p>
            <w:pPr>
              <w:spacing w:after="80"/>
            </w:pPr>
            <w:r>
              <w:rPr>
                <w:b w:val="false"/>
                <w:bCs w:val="false"/>
                <w:sz w:val="21"/>
                <w:szCs w:val="21"/>
              </w:rPr>
              <w:t xml:space="preserve">credit_stage_panel.csv를 합성 데이터로 오인해 폐기했었으나, 노트북(esg_fund_credit_hypothesis.ipynb) 원본 확인 결과 신용상태 단계·상태·재무비율은 전부 실제 DART 데이터였습니다(노트북 자체 표기: full_collection_result.csv·capital_impairment_result.csv 모두 '실제 데이터 그대로 사용').</w:t>
            </w:r>
          </w:p>
          <w:p>
            <w:pPr>
              <w:spacing w:after="80"/>
            </w:pPr>
            <w:r>
              <w:rPr>
                <w:b w:val="false"/>
                <w:bCs w:val="false"/>
                <w:sz w:val="21"/>
                <w:szCs w:val="21"/>
              </w:rPr>
              <w:t xml:space="preserve">합성인 것은 ESG펀드 보유종목·NAV·벤치마크(별도 가설용)와 신용사건 1·2단계의 정확한 날짜뿐이며, 이번 분석에 쓰인 stage/status/부채비율/risk_score는 영향받지 않습니다.</w:t>
            </w:r>
          </w:p>
          <w:p>
            <w:pPr>
              <w:spacing w:after="0"/>
            </w:pPr>
            <w:r>
              <w:rPr>
                <w:b w:val="false"/>
                <w:bCs w:val="false"/>
                <w:sz w:val="21"/>
                <w:szCs w:val="21"/>
              </w:rPr>
              <w:t xml:space="preserve">이 보고서는 서로 독립된 두 개의 실제 데이터 신호 — ① DART 기반 신용위험 사다리, ② KCGS 등급조정 이벤트 — 를 모두 사용한 통합본입니다.</w:t>
            </w:r>
          </w:p>
        </w:tc>
      </w:tr>
    </w:tbl>
    <w:p>
      <w:pPr>
        <w:pStyle w:val="Heading1"/>
        <w:spacing w:after="150" w:before="300"/>
      </w:pPr>
      <w:r>
        <w:t xml:space="preserve">1. 배경 및 목적</w:t>
      </w:r>
    </w:p>
    <w:p>
      <w:pPr>
        <w:spacing w:after="160"/>
      </w:pPr>
      <w:r>
        <w:rPr>
          <w:b w:val="false"/>
          <w:bCs w:val="false"/>
          <w:i w:val="false"/>
          <w:iCs w:val="false"/>
        </w:rPr>
        <w:t xml:space="preserve">팀 합의 사항인 'ESG등급이 실제로 의미 있는 신호인가'를 재무적 타당성(신용위험) 축에서 검증했다. ESG등급이 높은 기업일수록 신용위험이 낮다는 통념을 실제 데이터로 확인하는 것이 목표다.</w:t>
      </w:r>
    </w:p>
    <w:p>
      <w:pPr>
        <w:pStyle w:val="Heading1"/>
        <w:spacing w:after="150" w:before="300"/>
      </w:pPr>
      <w:r>
        <w:t xml:space="preserve">2. 데이터</w:t>
      </w:r>
    </w:p>
    <w:tbl>
      <w:tblPr>
        <w:tblW w:type="dxa" w:w="9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4200"/>
        <w:gridCol w:w="2000"/>
        <w:gridCol w:w="1400"/>
      </w:tblGrid>
      <w:tr>
        <w:tc>
          <w:tcPr>
            <w:tcW w:type="dxa" w:w="2200"/>
            <w:shd w:fill="1A1A19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소스</w:t>
            </w:r>
          </w:p>
        </w:tc>
        <w:tc>
          <w:tcPr>
            <w:tcW w:type="dxa" w:w="4200"/>
            <w:shd w:fill="1A1A19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내용</w:t>
            </w:r>
          </w:p>
        </w:tc>
        <w:tc>
          <w:tcPr>
            <w:tcW w:type="dxa" w:w="2000"/>
            <w:shd w:fill="1A1A19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표본</w:t>
            </w:r>
          </w:p>
        </w:tc>
        <w:tc>
          <w:tcPr>
            <w:tcW w:type="dxa" w:w="1400"/>
            <w:shd w:fill="1A1A19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판정</w:t>
            </w:r>
          </w:p>
        </w:tc>
      </w:tr>
      <w:tr>
        <w:tc>
          <w:tcPr>
            <w:tcW w:type="dxa" w:w="22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0B0B0B"/>
                <w:sz w:val="20"/>
                <w:szCs w:val="20"/>
              </w:rPr>
              <w:t xml:space="preserve">KCGS ESG등급</w:t>
            </w:r>
          </w:p>
        </w:tc>
        <w:tc>
          <w:tcPr>
            <w:tcW w:type="dxa" w:w="42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0B0B0B"/>
                <w:sz w:val="20"/>
                <w:szCs w:val="20"/>
              </w:rPr>
              <w:t xml:space="preserve">ESG·환경(E)·사회(S)·지배구조(G) 등급, 등급조정 이벤트</w:t>
            </w:r>
          </w:p>
        </w:tc>
        <w:tc>
          <w:tcPr>
            <w:tcW w:type="dxa" w:w="20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0B0B0B"/>
                <w:sz w:val="20"/>
                <w:szCs w:val="20"/>
              </w:rPr>
              <w:t xml:space="preserve">1,091개사 (2025)</w:t>
            </w:r>
          </w:p>
        </w:tc>
        <w:tc>
          <w:tcPr>
            <w:tcW w:type="dxa" w:w="14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0B0B0B"/>
                <w:sz w:val="20"/>
                <w:szCs w:val="20"/>
              </w:rPr>
              <w:t xml:space="preserve">실제</w:t>
            </w:r>
          </w:p>
        </w:tc>
      </w:tr>
      <w:tr>
        <w:tc>
          <w:tcPr>
            <w:tcW w:type="dxa" w:w="22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0B0B0B"/>
                <w:sz w:val="20"/>
                <w:szCs w:val="20"/>
              </w:rPr>
              <w:t xml:space="preserve">신용위험 사다리</w:t>
            </w:r>
          </w:p>
        </w:tc>
        <w:tc>
          <w:tcPr>
            <w:tcW w:type="dxa" w:w="42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0B0B0B"/>
                <w:sz w:val="20"/>
                <w:szCs w:val="20"/>
              </w:rPr>
              <w:t xml:space="preserve">정상→위험징후→신용등급하락→부도, 부채비율·유동비율·자본총계</w:t>
            </w:r>
          </w:p>
        </w:tc>
        <w:tc>
          <w:tcPr>
            <w:tcW w:type="dxa" w:w="20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0B0B0B"/>
                <w:sz w:val="20"/>
                <w:szCs w:val="20"/>
              </w:rPr>
              <w:t xml:space="preserve">3,806개사</w:t>
            </w:r>
          </w:p>
        </w:tc>
        <w:tc>
          <w:tcPr>
            <w:tcW w:type="dxa" w:w="14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0B0B0B"/>
                <w:sz w:val="20"/>
                <w:szCs w:val="20"/>
              </w:rPr>
              <w:t xml:space="preserve">실제</w:t>
            </w:r>
          </w:p>
        </w:tc>
      </w:tr>
      <w:tr>
        <w:tc>
          <w:tcPr>
            <w:tcW w:type="dxa" w:w="22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0B0B0B"/>
                <w:sz w:val="20"/>
                <w:szCs w:val="20"/>
              </w:rPr>
              <w:t xml:space="preserve">조인 결과</w:t>
            </w:r>
          </w:p>
        </w:tc>
        <w:tc>
          <w:tcPr>
            <w:tcW w:type="dxa" w:w="42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0B0B0B"/>
                <w:sz w:val="20"/>
                <w:szCs w:val="20"/>
              </w:rPr>
              <w:t xml:space="preserve">두 소스를 종목코드로 조인, 등급없음 제외</w:t>
            </w:r>
          </w:p>
        </w:tc>
        <w:tc>
          <w:tcPr>
            <w:tcW w:type="dxa" w:w="20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0B0B0B"/>
                <w:sz w:val="20"/>
                <w:szCs w:val="20"/>
              </w:rPr>
              <w:t xml:space="preserve">1,025개사</w:t>
            </w:r>
          </w:p>
        </w:tc>
        <w:tc>
          <w:tcPr>
            <w:tcW w:type="dxa" w:w="14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0B0B0B"/>
                <w:sz w:val="20"/>
                <w:szCs w:val="20"/>
              </w:rPr>
              <w:t xml:space="preserve">-</w:t>
            </w:r>
          </w:p>
        </w:tc>
      </w:tr>
    </w:tbl>
    <w:p>
      <w:pPr>
        <w:pStyle w:val="Heading1"/>
        <w:spacing w:after="150" w:before="300"/>
      </w:pPr>
      <w:r>
        <w:t xml:space="preserve">3. 핵심 발견</w:t>
      </w:r>
    </w:p>
    <w:p>
      <w:pPr>
        <w:pStyle w:val="Heading2"/>
        <w:spacing w:after="120" w:before="240"/>
      </w:pPr>
      <w:r>
        <w:t xml:space="preserve">발견 1 — ESG등급이 높을수록 위험징후 단계 비중이 오히려 높다</w:t>
      </w:r>
    </w:p>
    <w:p>
      <w:pPr>
        <w:spacing w:after="200"/>
        <w:jc w:val="center"/>
      </w:pPr>
      <w:r>
        <w:drawing>
          <wp:inline distT="0" distB="0" distL="0" distR="0">
            <wp:extent cx="5334000" cy="3238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38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</w:pPr>
      <w:r>
        <w:rPr>
          <w:b w:val="false"/>
          <w:bCs w:val="false"/>
          <w:i w:val="false"/>
          <w:iCs w:val="false"/>
        </w:rPr>
        <w:t xml:space="preserve">D등급 정상 67.5%·위험징후 30.5% vs A등급 정상 55.4%·위험징후 43.7%. 우량군(A이상) 위험비율 44.2% vs 비우량군(B+이하) 35.3%, 오즈비 1.45 (카이제곱 p=0.017). ESG등급 전체를 순위상관으로 봐도 양(+)의 상관 — r=0.083, p=0.0077. 환경(r=0.107, p=0.0006), 사회(r=0.073, p=0.019)에서도 유의. 지배구조만 유의하지 않음(r=0.048, p=0.126).</w:t>
      </w:r>
    </w:p>
    <w:p>
      <w:pPr>
        <w:pStyle w:val="Heading2"/>
        <w:spacing w:after="120" w:before="240"/>
      </w:pPr>
      <w:r>
        <w:t xml:space="preserve">발견 2 — 기업 규모를 통제해도 방향이 유지된다</w:t>
      </w:r>
    </w:p>
    <w:p>
      <w:pPr>
        <w:spacing w:after="200"/>
        <w:jc w:val="center"/>
      </w:pPr>
      <w:r>
        <w:drawing>
          <wp:inline distT="0" distB="0" distL="0" distR="0">
            <wp:extent cx="4953000" cy="30099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3009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</w:pPr>
      <w:r>
        <w:rPr>
          <w:b w:val="false"/>
          <w:bCs w:val="false"/>
          <w:i w:val="false"/>
          <w:iCs w:val="false"/>
        </w:rPr>
        <w:t xml:space="preserve">ESG등급은 기업 규모(자본총계)와 매우 강하게 상관돼 있다 — Spearman r=0.64, p&lt;0.0001. 규모가 클수록 ESG등급도 높다는 뜻으로, 대기업이 공시·컴플라이언스 자원이 많아 등급이 잘 나오는 구조적 편향으로 해석된다. 그런데 로지스틱회귀로 규모를 통제한 뒤에도 ESG등급의 계수는 여전히 양(+)이고 유의하다 (계수 +0.188, p=0.0001; log(자본총계) 계수는 -0.128, p=0.002로 예상대로 음수). 즉 '대기업이라서 위험이 낮다'는 효과는 확인되지만, 그와 별개로 'ESG등급이 높을수록 위험징후가 더 많다'는 패턴은 규모 효과만으로 완전히 설명되지 않는다.</w:t>
      </w:r>
    </w:p>
    <w:p>
      <w:pPr>
        <w:pStyle w:val="Heading2"/>
        <w:spacing w:after="120" w:before="240"/>
      </w:pPr>
      <w:r>
        <w:t xml:space="preserve">발견 3 — 심각한 신용사건(등급하락·부도)은 표본이 매우 작고, 일부는 데이터 품질 의심</w:t>
      </w:r>
    </w:p>
    <w:tbl>
      <w:tblPr>
        <w:tblW w:type="dxa" w:w="8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400"/>
        <w:gridCol w:w="2200"/>
        <w:gridCol w:w="2600"/>
      </w:tblGrid>
      <w:tr>
        <w:tc>
          <w:tcPr>
            <w:tcW w:type="dxa" w:w="2600"/>
            <w:shd w:fill="1A1A19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기업명</w:t>
            </w:r>
          </w:p>
        </w:tc>
        <w:tc>
          <w:tcPr>
            <w:tcW w:type="dxa" w:w="1400"/>
            <w:shd w:fill="1A1A19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ESG등급</w:t>
            </w:r>
          </w:p>
        </w:tc>
        <w:tc>
          <w:tcPr>
            <w:tcW w:type="dxa" w:w="2200"/>
            <w:shd w:fill="1A1A19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단계</w:t>
            </w:r>
          </w:p>
        </w:tc>
        <w:tc>
          <w:tcPr>
            <w:tcW w:type="dxa" w:w="2600"/>
            <w:shd w:fill="1A1A19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사유</w:t>
            </w:r>
          </w:p>
        </w:tc>
      </w:tr>
      <w:tr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0B0B0B"/>
                <w:sz w:val="20"/>
                <w:szCs w:val="20"/>
              </w:rPr>
              <w:t xml:space="preserve">STX</w:t>
            </w:r>
          </w:p>
        </w:tc>
        <w:tc>
          <w:tcPr>
            <w:tcW w:type="dxa" w:w="14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0B0B0B"/>
                <w:sz w:val="20"/>
                <w:szCs w:val="20"/>
              </w:rPr>
              <w:t xml:space="preserve">D</w:t>
            </w:r>
          </w:p>
        </w:tc>
        <w:tc>
          <w:tcPr>
            <w:tcW w:type="dxa" w:w="22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0B0B0B"/>
                <w:sz w:val="20"/>
                <w:szCs w:val="20"/>
              </w:rPr>
              <w:t xml:space="preserve">2 신용등급하락</w:t>
            </w:r>
          </w:p>
        </w:tc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0B0B0B"/>
                <w:sz w:val="20"/>
                <w:szCs w:val="20"/>
              </w:rPr>
              <w:t xml:space="preserve">완전자본잠식</w:t>
            </w:r>
          </w:p>
        </w:tc>
      </w:tr>
      <w:tr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0B0B0B"/>
                <w:sz w:val="20"/>
                <w:szCs w:val="20"/>
              </w:rPr>
              <w:t xml:space="preserve">범양건영</w:t>
            </w:r>
          </w:p>
        </w:tc>
        <w:tc>
          <w:tcPr>
            <w:tcW w:type="dxa" w:w="14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0B0B0B"/>
                <w:sz w:val="20"/>
                <w:szCs w:val="20"/>
              </w:rPr>
              <w:t xml:space="preserve">D</w:t>
            </w:r>
          </w:p>
        </w:tc>
        <w:tc>
          <w:tcPr>
            <w:tcW w:type="dxa" w:w="22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0B0B0B"/>
                <w:sz w:val="20"/>
                <w:szCs w:val="20"/>
              </w:rPr>
              <w:t xml:space="preserve">2 신용등급하락</w:t>
            </w:r>
          </w:p>
        </w:tc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0B0B0B"/>
                <w:sz w:val="20"/>
                <w:szCs w:val="20"/>
              </w:rPr>
              <w:t xml:space="preserve">완전자본잠식</w:t>
            </w:r>
          </w:p>
        </w:tc>
      </w:tr>
      <w:tr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0B0B0B"/>
                <w:sz w:val="20"/>
                <w:szCs w:val="20"/>
              </w:rPr>
              <w:t xml:space="preserve">한창</w:t>
            </w:r>
          </w:p>
        </w:tc>
        <w:tc>
          <w:tcPr>
            <w:tcW w:type="dxa" w:w="14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0B0B0B"/>
                <w:sz w:val="20"/>
                <w:szCs w:val="20"/>
              </w:rPr>
              <w:t xml:space="preserve">D</w:t>
            </w:r>
          </w:p>
        </w:tc>
        <w:tc>
          <w:tcPr>
            <w:tcW w:type="dxa" w:w="22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0B0B0B"/>
                <w:sz w:val="20"/>
                <w:szCs w:val="20"/>
              </w:rPr>
              <w:t xml:space="preserve">2 신용등급하락</w:t>
            </w:r>
          </w:p>
        </w:tc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0B0B0B"/>
                <w:sz w:val="20"/>
                <w:szCs w:val="20"/>
              </w:rPr>
              <w:t xml:space="preserve">완전자본잠식</w:t>
            </w:r>
          </w:p>
        </w:tc>
      </w:tr>
      <w:tr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0B0B0B"/>
                <w:sz w:val="20"/>
                <w:szCs w:val="20"/>
              </w:rPr>
              <w:t xml:space="preserve">국보</w:t>
            </w:r>
          </w:p>
        </w:tc>
        <w:tc>
          <w:tcPr>
            <w:tcW w:type="dxa" w:w="14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0B0B0B"/>
                <w:sz w:val="20"/>
                <w:szCs w:val="20"/>
              </w:rPr>
              <w:t xml:space="preserve">D</w:t>
            </w:r>
          </w:p>
        </w:tc>
        <w:tc>
          <w:tcPr>
            <w:tcW w:type="dxa" w:w="22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0B0B0B"/>
                <w:sz w:val="20"/>
                <w:szCs w:val="20"/>
              </w:rPr>
              <w:t xml:space="preserve">2 신용등급하락</w:t>
            </w:r>
          </w:p>
        </w:tc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0B0B0B"/>
                <w:sz w:val="20"/>
                <w:szCs w:val="20"/>
              </w:rPr>
              <w:t xml:space="preserve">완전자본잠식</w:t>
            </w:r>
          </w:p>
        </w:tc>
      </w:tr>
      <w:tr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0B0B0B"/>
                <w:sz w:val="20"/>
                <w:szCs w:val="20"/>
              </w:rPr>
              <w:t xml:space="preserve">다원시스</w:t>
            </w:r>
          </w:p>
        </w:tc>
        <w:tc>
          <w:tcPr>
            <w:tcW w:type="dxa" w:w="14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0B0B0B"/>
                <w:sz w:val="20"/>
                <w:szCs w:val="20"/>
              </w:rPr>
              <w:t xml:space="preserve">D</w:t>
            </w:r>
          </w:p>
        </w:tc>
        <w:tc>
          <w:tcPr>
            <w:tcW w:type="dxa" w:w="22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0B0B0B"/>
                <w:sz w:val="20"/>
                <w:szCs w:val="20"/>
              </w:rPr>
              <w:t xml:space="preserve">2 신용등급하락</w:t>
            </w:r>
          </w:p>
        </w:tc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0B0B0B"/>
                <w:sz w:val="20"/>
                <w:szCs w:val="20"/>
              </w:rPr>
              <w:t xml:space="preserve">완전자본잠식</w:t>
            </w:r>
          </w:p>
        </w:tc>
      </w:tr>
      <w:tr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0B0B0B"/>
                <w:sz w:val="20"/>
                <w:szCs w:val="20"/>
              </w:rPr>
              <w:t xml:space="preserve">인스코비</w:t>
            </w:r>
          </w:p>
        </w:tc>
        <w:tc>
          <w:tcPr>
            <w:tcW w:type="dxa" w:w="14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0B0B0B"/>
                <w:sz w:val="20"/>
                <w:szCs w:val="20"/>
              </w:rPr>
              <w:t xml:space="preserve">D</w:t>
            </w:r>
          </w:p>
        </w:tc>
        <w:tc>
          <w:tcPr>
            <w:tcW w:type="dxa" w:w="22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0B0B0B"/>
                <w:sz w:val="20"/>
                <w:szCs w:val="20"/>
              </w:rPr>
              <w:t xml:space="preserve">2 신용등급하락</w:t>
            </w:r>
          </w:p>
        </w:tc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0B0B0B"/>
                <w:sz w:val="20"/>
                <w:szCs w:val="20"/>
              </w:rPr>
              <w:t xml:space="preserve">완전자본잠식</w:t>
            </w:r>
          </w:p>
        </w:tc>
      </w:tr>
      <w:tr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0B0B0B"/>
                <w:sz w:val="20"/>
                <w:szCs w:val="20"/>
              </w:rPr>
              <w:t xml:space="preserve">한일현대시멘트</w:t>
            </w:r>
          </w:p>
        </w:tc>
        <w:tc>
          <w:tcPr>
            <w:tcW w:type="dxa" w:w="14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0B0B0B"/>
                <w:sz w:val="20"/>
                <w:szCs w:val="20"/>
              </w:rPr>
              <w:t xml:space="preserve">B+</w:t>
            </w:r>
          </w:p>
        </w:tc>
        <w:tc>
          <w:tcPr>
            <w:tcW w:type="dxa" w:w="22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0B0B0B"/>
                <w:sz w:val="20"/>
                <w:szCs w:val="20"/>
              </w:rPr>
              <w:t xml:space="preserve">3 부도</w:t>
            </w:r>
          </w:p>
        </w:tc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0B0B0B"/>
                <w:sz w:val="20"/>
                <w:szCs w:val="20"/>
              </w:rPr>
              <w:t xml:space="preserve">국세청 폐업</w:t>
            </w:r>
          </w:p>
        </w:tc>
      </w:tr>
      <w:tr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0B0B0B"/>
                <w:sz w:val="20"/>
                <w:szCs w:val="20"/>
              </w:rPr>
              <w:t xml:space="preserve">코오롱ENP</w:t>
            </w:r>
          </w:p>
        </w:tc>
        <w:tc>
          <w:tcPr>
            <w:tcW w:type="dxa" w:w="14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0B0B0B"/>
                <w:sz w:val="20"/>
                <w:szCs w:val="20"/>
              </w:rPr>
              <w:t xml:space="preserve">B+</w:t>
            </w:r>
          </w:p>
        </w:tc>
        <w:tc>
          <w:tcPr>
            <w:tcW w:type="dxa" w:w="22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0B0B0B"/>
                <w:sz w:val="20"/>
                <w:szCs w:val="20"/>
              </w:rPr>
              <w:t xml:space="preserve">3 부도</w:t>
            </w:r>
          </w:p>
        </w:tc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0B0B0B"/>
                <w:sz w:val="20"/>
                <w:szCs w:val="20"/>
              </w:rPr>
              <w:t xml:space="preserve">국세청 폐업</w:t>
            </w:r>
          </w:p>
        </w:tc>
      </w:tr>
      <w:tr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0B0B0B"/>
                <w:sz w:val="20"/>
                <w:szCs w:val="20"/>
              </w:rPr>
              <w:t xml:space="preserve">HD현대인프라코어</w:t>
            </w:r>
          </w:p>
        </w:tc>
        <w:tc>
          <w:tcPr>
            <w:tcW w:type="dxa" w:w="14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0B0B0B"/>
                <w:sz w:val="20"/>
                <w:szCs w:val="20"/>
              </w:rPr>
              <w:t xml:space="preserve">A</w:t>
            </w:r>
          </w:p>
        </w:tc>
        <w:tc>
          <w:tcPr>
            <w:tcW w:type="dxa" w:w="22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0B0B0B"/>
                <w:sz w:val="20"/>
                <w:szCs w:val="20"/>
              </w:rPr>
              <w:t xml:space="preserve">3 부도</w:t>
            </w:r>
          </w:p>
        </w:tc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0B0B0B"/>
                <w:sz w:val="20"/>
                <w:szCs w:val="20"/>
              </w:rPr>
              <w:t xml:space="preserve">국세청 폐업 ⚠</w:t>
            </w:r>
          </w:p>
        </w:tc>
      </w:tr>
      <w:tr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0B0B0B"/>
                <w:sz w:val="20"/>
                <w:szCs w:val="20"/>
              </w:rPr>
              <w:t xml:space="preserve">HD현대미포</w:t>
            </w:r>
          </w:p>
        </w:tc>
        <w:tc>
          <w:tcPr>
            <w:tcW w:type="dxa" w:w="14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0B0B0B"/>
                <w:sz w:val="20"/>
                <w:szCs w:val="20"/>
              </w:rPr>
              <w:t xml:space="preserve">A</w:t>
            </w:r>
          </w:p>
        </w:tc>
        <w:tc>
          <w:tcPr>
            <w:tcW w:type="dxa" w:w="22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0B0B0B"/>
                <w:sz w:val="20"/>
                <w:szCs w:val="20"/>
              </w:rPr>
              <w:t xml:space="preserve">3 부도</w:t>
            </w:r>
          </w:p>
        </w:tc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0B0B0B"/>
                <w:sz w:val="20"/>
                <w:szCs w:val="20"/>
              </w:rPr>
              <w:t xml:space="preserve">국세청 폐업 ⚠</w:t>
            </w:r>
          </w:p>
        </w:tc>
      </w:tr>
    </w:tbl>
    <w:p>
      <w:pPr>
        <w:spacing w:after="160"/>
      </w:pPr>
      <w:r>
        <w:rPr>
          <w:b w:val="false"/>
          <w:bCs w:val="false"/>
          <w:i w:val="false"/>
          <w:iCs w:val="false"/>
        </w:rPr>
        <w:t xml:space="preserve"/>
      </w:r>
    </w:p>
    <w:p>
      <w:pPr>
        <w:spacing w:after="160"/>
      </w:pPr>
      <w:r>
        <w:rPr>
          <w:b w:val="false"/>
          <w:bCs w:val="false"/>
          <w:i/>
          <w:iCs/>
          <w:color w:val="52514E"/>
        </w:rPr>
        <w:t xml:space="preserve">⚠ 표시된 두 곳(HD현대인프라코어·HD현대미포)은 실제로는 존속 중인 대형 조선·중공업 계열사다. 계열 편입·사명 변경 과정에서 옛 법인의 DART 등록이 '폐업' 처리되고 신법인이 별도로 등록됐을 가능성이 높다 — 진짜 부도가 아니라 행정상 코드 변경일 개연성이 크다. 이 둘을 제외하면 심각 사건은 D등급 6건·B+등급 2건뿐으로, ESG등급이 높을수록 심각 사건이 적다는 원래 기대와 일치하는 방향이지만 표본이 너무 작아(n=8) 통계적으로 결론 내릴 수 없다.</w:t>
      </w:r>
    </w:p>
    <w:p>
      <w:pPr>
        <w:pStyle w:val="Heading2"/>
        <w:spacing w:after="120" w:before="240"/>
      </w:pPr>
      <w:r>
        <w:t xml:space="preserve">발견 4 — 실제 공시된 등급조정 이벤트에서도 같은 패턴이 재현된다</w:t>
      </w:r>
    </w:p>
    <w:p>
      <w:pPr>
        <w:spacing w:after="200"/>
        <w:jc w:val="center"/>
      </w:pPr>
      <w:r>
        <w:drawing>
          <wp:inline distT="0" distB="0" distL="0" distR="0">
            <wp:extent cx="5334000" cy="3238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38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</w:pPr>
      <w:r>
        <w:rPr>
          <w:b w:val="false"/>
          <w:bCs w:val="false"/>
          <w:i w:val="false"/>
          <w:iCs w:val="false"/>
        </w:rPr>
        <w:t xml:space="preserve">KCGS가 연중 발생한 거버넌스·사회 이슈로 등급을 하향 조정한 실제 이벤트(53개사, 5.2%)를 봐도, 조정을 받은 기업이 오히려 전체·환경·사회·지배구조 등급 모두 유의하게 더 높다(Mann-Whitney p&lt;0.0001~0.01). 조정을 받은 축이 아닌 다른 축으로 교차검증해도 같은 방향 — 순환성 문제가 아니다. 명단은 삼성물산·현대자동차·신한지주·KB금융·CJ그룹 계열사 등 최상위 대기업에 편중돼 있다.</w:t>
      </w:r>
    </w:p>
    <w:p>
      <w:pPr>
        <w:pStyle w:val="Heading1"/>
        <w:spacing w:after="150" w:before="300"/>
      </w:pPr>
      <w:r>
        <w:t xml:space="preserve">4. 종합 해석</w:t>
      </w:r>
    </w:p>
    <w:p>
      <w:pPr>
        <w:spacing w:after="160"/>
      </w:pPr>
      <w:r>
        <w:rPr>
          <w:b w:val="false"/>
          <w:bCs w:val="false"/>
          <w:i w:val="false"/>
          <w:iCs w:val="false"/>
        </w:rPr>
        <w:t xml:space="preserve">서로 독립된 두 실제 데이터 신호(DART 기반 신용위험 사다리, KCGS 등급조정 공시)가 같은 방향을 가리킨다는 점이 이번 분석에서 가장 주목할 부분이다 — 'ESG등급이 높을수록 신용·거버넌스 위험이 낮다'는 단순 가설은 이 데이터에서 지지되지 않고, 오히려 반대 방향의 유의한 상관이 반복 관찰됐다.</w:t>
      </w:r>
    </w:p>
    <w:p>
      <w:pPr>
        <w:spacing w:after="160"/>
      </w:pPr>
      <w:r>
        <w:rPr>
          <w:b w:val="false"/>
          <w:bCs w:val="false"/>
          <w:i w:val="false"/>
          <w:iCs w:val="false"/>
        </w:rPr>
        <w:t xml:space="preserve">두 가지 경쟁 해석이 가능하다.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가설 A (역상관 실재): ESG평가에 반영되지 않는 다른 경로로, 등급 높은 기업이 실제로 더 위험한 의사결정을 하거나 더 복잡한 리스크에 노출된다.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가설 B (관측·규모 편향): ESG등급은 기업 규모와 강하게 상관되고(r=0.64), 대기업일수록 위험징후 기준(부채비율 등)에 절대 규모로 걸리기 쉽고 언론·감독 노출도 커서 이벤트가 더 잘 '포착'된다.</w:t>
      </w:r>
    </w:p>
    <w:p>
      <w:pPr>
        <w:spacing w:after="160"/>
      </w:pPr>
      <w:r>
        <w:rPr>
          <w:b w:val="false"/>
          <w:bCs w:val="false"/>
          <w:i w:val="false"/>
          <w:iCs w:val="false"/>
        </w:rPr>
        <w:t xml:space="preserve">로지스틱회귀에서 규모를 통제한 뒤에도 ESG등급 효과가 유의하게 남는다는 점은 가설 B만으로 전부 설명되지 않는다는 뜻이지만, 위험징후 판정 기준 자체(부채비율 등)에 이미 규모 편향이 내재할 수 있어 완전한 인과 해석은 이르다. 결론적으로 '고평점 = 저위험'이라는 단순 내러티브는 이 데이터로 뒷받침되지 않는다는 것이 가장 정직한 요약이다.</w:t>
      </w:r>
    </w:p>
    <w:p>
      <w:pPr>
        <w:pStyle w:val="Heading1"/>
        <w:spacing w:after="150" w:before="300"/>
      </w:pPr>
      <w:r>
        <w:t xml:space="preserve">5. 이 분석의 한계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단면(2025년 한 시점) 데이터라 등급이 위험을 '예측'하는지, 이미 반영된 결과인지 시간 순서를 엄밀히 분리하기 어렵다.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'위험징후' 단계는 재무비율 기준이라 규모 편향에 취약할 수 있다(기존 분석에서 부채비율 단독의 폐업 예측력이 AUC≈0.5로 약하다는 점도 참고).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심각 신용사건(2·3단계) 표본이 10건으로 매우 작고, 그중 2건은 데이터 품질 문제 의심(발견 3).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KCGS 등급조정 이벤트는 부도확률이 아니라 거버넌스·사회 이슈 공시이며, 특정 시점·계열사 단위로 몰려 독립관측 가정이 흔들린다.</w:t>
      </w:r>
    </w:p>
    <w:p>
      <w:pPr>
        <w:pStyle w:val="Heading1"/>
        <w:spacing w:after="150" w:before="300"/>
      </w:pPr>
      <w:r>
        <w:t xml:space="preserve">6. 다음 단계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① 다년치 PIT 재무제표 패널(M12) 구축 후 시차구조 검증 — 등급이 위험을 선행하는지, 위험이 등급에 반영된 결과인지 분리.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② 기업 규모를 더 정교하게 통제(업종 내 규모 분위 등)해 가설 A/B를 재분리.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③ HD현대미포·HD현대인프라코어 등 '폐업' 오분류 의심 사례를 DART 개별 조회로 검증, 전체 3,806개사에 유사 사례 있는지 점검.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④ 신용평가 3사 등급변동 이력(유료, 기존 병목 #4) 확보 시 본 분석과 비교.</w:t>
      </w:r>
    </w:p>
    <w:p>
      <w:pPr>
        <w:pStyle w:val="Heading1"/>
        <w:spacing w:after="150" w:before="300"/>
      </w:pPr>
      <w:r>
        <w:t xml:space="preserve">부록</w:t>
      </w:r>
    </w:p>
    <w:p>
      <w:pPr>
        <w:spacing w:after="160"/>
      </w:pPr>
      <w:r>
        <w:rPr>
          <w:b w:val="false"/>
          <w:bCs w:val="false"/>
          <w:i/>
          <w:iCs/>
          <w:color w:val="52514E"/>
        </w:rPr>
        <w:t xml:space="preserve">KCGS 등급조정 이벤트 발생 기업 전체 명단(53개사)은 별첨 CSV(등급조정_기업명단.csv), 조인된 원자료는 merged_esg_credit_REAL.csv 참고.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bc49f4c9cc7cfdb1d568fe3d753bd6db4ab6f185.png"/><Relationship Id="rId8" Type="http://schemas.openxmlformats.org/officeDocument/2006/relationships/image" Target="media/89e680c85f38983a3abceae430f39f6ad4e92770.png"/><Relationship Id="rId9" Type="http://schemas.openxmlformats.org/officeDocument/2006/relationships/image" Target="media/b31d4919c8c47db4568df9b880b3959a55dd1633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2026-08-24T05:36:31.958Z</dcterms:created>
  <dcterms:modified xsi:type="dcterms:W3CDTF">2026-08-24T05:36:31.959Z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