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第2组成员分工说明</w:t>
      </w:r>
    </w:p>
    <w:p>
      <w:pPr>
        <w:spacing w:before="0" w:after="280" w:line="276" w:lineRule="auto"/>
        <w:jc w:val="center"/>
      </w:pPr>
      <w:r>
        <w:rPr>
          <w:rFonts w:ascii="Microsoft YaHei" w:hAnsi="Microsoft YaHei" w:eastAsia="Microsoft YaHei"/>
          <w:b w:val="0"/>
          <w:color w:val="555555"/>
          <w:sz w:val="22"/>
        </w:rPr>
        <w:t>智能充电桩调度管理系统概要设计与验收材料</w:t>
      </w:r>
    </w:p>
    <w:p>
      <w:pPr>
        <w:spacing w:before="160" w:after="120" w:line="276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一、基本信息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班级/小组</w:t>
            </w:r>
          </w:p>
        </w:tc>
        <w:tc>
          <w:tcPr>
            <w:tcW w:type="dxa" w:w="7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第2组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项目名称</w:t>
            </w:r>
          </w:p>
        </w:tc>
        <w:tc>
          <w:tcPr>
            <w:tcW w:type="dxa" w:w="7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智能充电桩调度管理系统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提交材料</w:t>
            </w:r>
          </w:p>
        </w:tc>
        <w:tc>
          <w:tcPr>
            <w:tcW w:type="dxa" w:w="7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用例结果 Excel、成员分工说明文档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说明日期</w:t>
            </w:r>
          </w:p>
        </w:tc>
        <w:tc>
          <w:tcPr>
            <w:tcW w:type="dxa" w:w="7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2026年6月16日</w:t>
            </w:r>
          </w:p>
        </w:tc>
      </w:tr>
    </w:tbl>
    <w:p>
      <w:pPr>
        <w:spacing w:before="280" w:after="120" w:line="276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二、成员分工与贡献比例</w:t>
      </w:r>
    </w:p>
    <w:p>
      <w:pPr>
        <w:spacing w:before="0" w:after="160" w:line="276" w:lineRule="auto"/>
      </w:pPr>
      <w:r>
        <w:rPr>
          <w:rFonts w:ascii="Microsoft YaHei" w:hAnsi="Microsoft YaHei" w:eastAsia="Microsoft YaHei"/>
          <w:b w:val="0"/>
          <w:color w:val="374151"/>
          <w:sz w:val="21"/>
        </w:rPr>
        <w:t>本组按系统事件、动态结构设计、静态结构设计、调度故障场景和材料整合工作进行分工。贡献比例为组内按实际承担任务量确认的相对工作量，合计为 100%。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33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20"/>
              </w:rPr>
              <w:t>成员</w:t>
            </w:r>
          </w:p>
        </w:tc>
        <w:tc>
          <w:tcPr>
            <w:tcW w:type="dxa" w:w="153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20"/>
              </w:rPr>
              <w:t>学号</w:t>
            </w:r>
          </w:p>
        </w:tc>
        <w:tc>
          <w:tcPr>
            <w:tcW w:type="dxa" w:w="85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20"/>
              </w:rPr>
              <w:t>角色</w:t>
            </w:r>
          </w:p>
        </w:tc>
        <w:tc>
          <w:tcPr>
            <w:tcW w:type="dxa" w:w="4535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20"/>
              </w:rPr>
              <w:t>主要负责内容</w:t>
            </w:r>
          </w:p>
        </w:tc>
        <w:tc>
          <w:tcPr>
            <w:tcW w:type="dxa" w:w="102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2937"/>
                <w:sz w:val="20"/>
              </w:rPr>
              <w:t>贡献比例</w:t>
            </w:r>
          </w:p>
        </w:tc>
      </w:tr>
      <w:tr>
        <w:tc>
          <w:tcPr>
            <w:tcW w:type="dxa" w:w="1133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郝政伟</w:t>
            </w:r>
          </w:p>
        </w:tc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2023210979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组长</w:t>
            </w:r>
          </w:p>
        </w:tc>
        <w:tc>
          <w:tcPr>
            <w:tcW w:type="dxa" w:w="4535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系统架构设计；充电申请、开始充电、结束充电；优先级调度、时间顺序调度、充电中故障恢复；单次/批量最短时长策略；系统级类图；报告统稿、格式统一与验收材料整理。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28%</w:t>
            </w:r>
          </w:p>
        </w:tc>
      </w:tr>
      <w:tr>
        <w:tc>
          <w:tcPr>
            <w:tcW w:type="dxa" w:w="1133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李良顺</w:t>
            </w:r>
          </w:p>
        </w:tc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2023210984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组员</w:t>
            </w:r>
          </w:p>
        </w:tc>
        <w:tc>
          <w:tcPr>
            <w:tcW w:type="dxa" w:w="4535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创建新账号、设置密码；车辆状态查询、队列状态查询；注册与队列状态相关动态结构、静态类图和对象说明。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18%</w:t>
            </w:r>
          </w:p>
        </w:tc>
      </w:tr>
      <w:tr>
        <w:tc>
          <w:tcPr>
            <w:tcW w:type="dxa" w:w="1133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蔡禹煊</w:t>
            </w:r>
          </w:p>
        </w:tc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2023210985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组员</w:t>
            </w:r>
          </w:p>
        </w:tc>
        <w:tc>
          <w:tcPr>
            <w:tcW w:type="dxa" w:w="4535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修改充电量、修改充电模式、查询充电状态、查看详单；充电状态与详单相关对象设计和说明。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18%</w:t>
            </w:r>
          </w:p>
        </w:tc>
      </w:tr>
      <w:tr>
        <w:tc>
          <w:tcPr>
            <w:tcW w:type="dxa" w:w="1133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周柄名</w:t>
            </w:r>
          </w:p>
        </w:tc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2023210992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组员</w:t>
            </w:r>
          </w:p>
        </w:tc>
        <w:tc>
          <w:tcPr>
            <w:tcW w:type="dxa" w:w="4535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查看账单、充电桩上电、设置充电桩参数；账单界面、账单类图和运行充电桩相关设计。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18%</w:t>
            </w:r>
          </w:p>
        </w:tc>
      </w:tr>
      <w:tr>
        <w:tc>
          <w:tcPr>
            <w:tcW w:type="dxa" w:w="1133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张睿渤</w:t>
            </w:r>
          </w:p>
        </w:tc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2023210991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组员</w:t>
            </w:r>
          </w:p>
        </w:tc>
        <w:tc>
          <w:tcPr>
            <w:tcW w:type="dxa" w:w="4535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启动充电桩、关闭充电桩、查看充电桩状态；管理员监控界面、充电桩状态类图和监控相关说明。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18%</w:t>
            </w:r>
          </w:p>
        </w:tc>
      </w:tr>
    </w:tbl>
    <w:p>
      <w:pPr>
        <w:spacing w:before="280" w:after="120" w:line="276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三、补充说明</w:t>
      </w:r>
    </w:p>
    <w:p>
      <w:pPr>
        <w:spacing w:before="0" w:after="80" w:line="276" w:lineRule="auto"/>
        <w:ind w:left="340" w:hanging="198"/>
      </w:pPr>
      <w:r>
        <w:rPr>
          <w:rFonts w:ascii="Microsoft YaHei" w:hAnsi="Microsoft YaHei" w:eastAsia="Microsoft YaHei"/>
          <w:b/>
          <w:color w:val="1F2937"/>
          <w:sz w:val="21"/>
        </w:rPr>
        <w:t xml:space="preserve">· </w:t>
      </w:r>
      <w:r>
        <w:rPr>
          <w:rFonts w:ascii="Microsoft YaHei" w:hAnsi="Microsoft YaHei" w:eastAsia="Microsoft YaHei"/>
          <w:b w:val="0"/>
          <w:color w:val="1F2937"/>
          <w:sz w:val="21"/>
        </w:rPr>
        <w:t>每名成员均承担至少两个系统事件或对应对象设计任务。</w:t>
      </w:r>
    </w:p>
    <w:p>
      <w:pPr>
        <w:spacing w:before="0" w:after="80" w:line="276" w:lineRule="auto"/>
        <w:ind w:left="340" w:hanging="198"/>
      </w:pPr>
      <w:r>
        <w:rPr>
          <w:rFonts w:ascii="Microsoft YaHei" w:hAnsi="Microsoft YaHei" w:eastAsia="Microsoft YaHei"/>
          <w:b/>
          <w:color w:val="1F2937"/>
          <w:sz w:val="21"/>
        </w:rPr>
        <w:t xml:space="preserve">· </w:t>
      </w:r>
      <w:r>
        <w:rPr>
          <w:rFonts w:ascii="Microsoft YaHei" w:hAnsi="Microsoft YaHei" w:eastAsia="Microsoft YaHei"/>
          <w:b w:val="0"/>
          <w:color w:val="1F2937"/>
          <w:sz w:val="21"/>
        </w:rPr>
        <w:t>组长承担系统架构、核心调度/故障恢复设计、选做调度策略和最终整合工作，因此贡献比例略高。</w:t>
      </w:r>
    </w:p>
    <w:p>
      <w:pPr>
        <w:spacing w:before="0" w:after="80" w:line="276" w:lineRule="auto"/>
        <w:ind w:left="340" w:hanging="198"/>
      </w:pPr>
      <w:r>
        <w:rPr>
          <w:rFonts w:ascii="Microsoft YaHei" w:hAnsi="Microsoft YaHei" w:eastAsia="Microsoft YaHei"/>
          <w:b/>
          <w:color w:val="1F2937"/>
          <w:sz w:val="21"/>
        </w:rPr>
        <w:t xml:space="preserve">· </w:t>
      </w:r>
      <w:r>
        <w:rPr>
          <w:rFonts w:ascii="Microsoft YaHei" w:hAnsi="Microsoft YaHei" w:eastAsia="Microsoft YaHei"/>
          <w:b w:val="0"/>
          <w:color w:val="1F2937"/>
          <w:sz w:val="21"/>
        </w:rPr>
        <w:t>验收用例结果 Excel 根据老师给出的测试序列填写，统计口径与概要设计中的调度、计费规则保持一致。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B7280"/>
        <w:sz w:val="18"/>
      </w:rPr>
      <w:t>第2组 | 智能充电桩调度管理系统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