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both"/>
        <w:rPr/>
      </w:pPr>
      <w:bookmarkStart w:colFirst="0" w:colLast="0" w:name="_82icwjuyx8a0" w:id="0"/>
      <w:bookmarkEnd w:id="0"/>
      <w:r w:rsidDel="00000000" w:rsidR="00000000" w:rsidRPr="00000000">
        <w:rPr>
          <w:rtl w:val="0"/>
        </w:rPr>
        <w:t xml:space="preserve">JOURNAL</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b w:val="1"/>
          <w:bCs w:val="1"/>
        </w:rPr>
      </w:pPr>
      <w:r w:rsidDel="00000000" w:rsidR="00000000" w:rsidRPr="00000000">
        <w:rPr>
          <w:b w:val="1"/>
          <w:bCs w:val="1"/>
          <w:rtl w:val="0"/>
        </w:rPr>
        <w:t xml:space="preserve">Preprocessing and data analysis</w:t>
      </w:r>
    </w:p>
    <w:p w:rsidR="00000000" w:rsidDel="00000000" w:rsidP="00000000" w:rsidRDefault="00000000" w:rsidRPr="00000000" w14:paraId="00000004">
      <w:pPr>
        <w:jc w:val="both"/>
        <w:rPr/>
      </w:pPr>
      <w:r w:rsidDel="00000000" w:rsidR="00000000" w:rsidRPr="00000000">
        <w:rPr>
          <w:rtl w:val="0"/>
        </w:rPr>
        <w:t xml:space="preserve">The data is initially divided into two separate files: one containing speed information and the other containing vehicle volume. Each file is timestamped at five-minute intervals, with values representing the median for that period, aggregated per street segment. Additionally, each file contains data from a single month and year; available files span from 2021 up to the most recent month.</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The internal format of these files varies significantly, which complicates data standardization and extraction. Although features represent similar concepts across files, their naming conventions differ. Some files use comma-separated values, while others use semicolon-separated values. Certain datasets provide only hourly vehicle volume, whereas others also include volume aggregated over five-minute intervals. Furthermore, sensor identifiers are not consistent over time, as sensor names change across different years.</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Flow creation</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After implementing the data extraction pipeline, two alternative modeling approaches were identified. The first approach consists of selecting representative snapshots of traffic conditions based on key states, such as weekdays versus weekends, low-traffic versus peak hours (e.g., 3:00 AM vs. 6:00 PM), and seasonal differences (summer vs. winter). These snapshots are then used as fixed scenarios for the simulation.</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The second approach treats the data as a continuous time series, updating the simulation parameters at each timestamp. This method more closely reflects real-world traffic dynamics, as it allows the simulation to evolve in response to temporal changes in demand and speed patterns.</w:t>
      </w:r>
    </w:p>
    <w:p w:rsidR="00000000" w:rsidDel="00000000" w:rsidP="00000000" w:rsidRDefault="00000000" w:rsidRPr="00000000" w14:paraId="0000000B">
      <w:pPr>
        <w:spacing w:after="240" w:before="240" w:lineRule="auto"/>
        <w:jc w:val="both"/>
        <w:rPr/>
      </w:pPr>
      <w:r w:rsidDel="00000000" w:rsidR="00000000" w:rsidRPr="00000000">
        <w:rPr>
          <w:rtl w:val="0"/>
        </w:rPr>
        <w:t xml:space="preserve">A data-driven pipeline was implemented to generate traffic flow files corresponding to specific timestamps extracted from the preprocessed dataset. The pipeline takes as input the index of a unique, chronologically ordered timestamp, scaled by a factor of 12. Since the dataset is aggregated in five-minute intervals, each unit increment of the index corresponds to a five-minute advancement in simulation time. For instance, an index value of 12 represents 1:00 AM on the first day of the month covered by the dataset. Consequently, providing an input range of 1–3 generates a traffic flow file containing demand data between 1:00 AM and 3:00 AM.</w:t>
      </w:r>
    </w:p>
    <w:p w:rsidR="00000000" w:rsidDel="00000000" w:rsidP="00000000" w:rsidRDefault="00000000" w:rsidRPr="00000000" w14:paraId="0000000C">
      <w:pPr>
        <w:jc w:val="both"/>
        <w:rPr/>
      </w:pPr>
      <w:r w:rsidDel="00000000" w:rsidR="00000000" w:rsidRPr="00000000">
        <w:rPr>
          <w:b w:val="1"/>
          <w:bCs w:val="1"/>
          <w:rtl w:val="0"/>
        </w:rPr>
        <w:t xml:space="preserve">Static light simulation</w:t>
      </w:r>
      <w:r w:rsidDel="00000000" w:rsidR="00000000" w:rsidRPr="00000000">
        <w:rPr>
          <w:rtl w:val="0"/>
        </w:rPr>
      </w:r>
    </w:p>
    <w:p w:rsidR="00000000" w:rsidDel="00000000" w:rsidP="00000000" w:rsidRDefault="00000000" w:rsidRPr="00000000" w14:paraId="0000000D">
      <w:pPr>
        <w:spacing w:after="240" w:before="240" w:lineRule="auto"/>
        <w:jc w:val="both"/>
        <w:rPr/>
      </w:pPr>
      <w:r w:rsidDel="00000000" w:rsidR="00000000" w:rsidRPr="00000000">
        <w:rPr>
          <w:rtl w:val="0"/>
        </w:rPr>
        <w:t xml:space="preserve">Test simulations were executed using a static traffic-light control strategy. The simulation parameters were calibrated to closely approximate real-world traffic conditions and were cross-validated against graphical interface (GUI) simulations to ensure consistency and accuracy of the modeled behavior.</w:t>
      </w:r>
    </w:p>
    <w:p w:rsidR="00000000" w:rsidDel="00000000" w:rsidP="00000000" w:rsidRDefault="00000000" w:rsidRPr="00000000" w14:paraId="0000000E">
      <w:pPr>
        <w:jc w:val="both"/>
        <w:rPr/>
      </w:pPr>
      <w:r w:rsidDel="00000000" w:rsidR="00000000" w:rsidRPr="00000000">
        <w:rPr>
          <w:rtl w:val="0"/>
        </w:rPr>
        <w:t xml:space="preserve">To accurately quantify traffic congestion, multiple performance indicators commonly used in traffic engineering and supported by SUMO were selected. Preliminary analysis revealed that relying solely on the average number of stopped vehicles can be misleading, particularly in networks with heterogeneous demand, where congestion on minor approaches may not be accurately reflected in global averages.</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To mitigate this limitation, percentile-based travel time metrics were incorporated. Specifically, the 95th percentile of travel time (p95) was used to characterize the upper tail of the travel time distribution, capturing severe and localized congestion affecting the slowest 5% of vehicles. This metric is widely used in traffic analysis to assess reliability and non-recurrent congestion effects.</w:t>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Queue-based indicators were also employed, including average queue length and maximum queue length at controlled approaches. When analyzed jointly with p95 travel time, these measures provide a more representative description of intersection performance and delay propagation, consistent with operational traffic conditions observed in real-world signalized intersections.</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t xml:space="preserve">Additionally, a congestion ratio was defined as the proportion of simulation time steps during which the queue length exceeded a predefined threshold of five vehicles, computed as:</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m:oMath>
        <m:r>
          <w:rPr>
            <w:rFonts w:ascii="Courier New" w:cs="Courier New" w:eastAsia="Courier New" w:hAnsi="Courier New"/>
            <w:color w:val="4ec9b0"/>
            <w:sz w:val="21"/>
            <w:szCs w:val="21"/>
          </w:rPr>
          <m:t xml:space="preserve">float</m:t>
        </m:r>
        <m:r>
          <w:rPr>
            <w:rFonts w:ascii="Courier New" w:cs="Courier New" w:eastAsia="Courier New" w:hAnsi="Courier New"/>
            <w:color w:val="dcdcdc"/>
            <w:sz w:val="21"/>
            <w:szCs w:val="21"/>
          </w:rPr>
          <m:t xml:space="preserve">((</m:t>
        </m:r>
        <m:r>
          <w:rPr>
            <w:rFonts w:ascii="Courier New" w:cs="Courier New" w:eastAsia="Courier New" w:hAnsi="Courier New"/>
            <w:color w:val="d4d4d4"/>
            <w:sz w:val="21"/>
            <w:szCs w:val="21"/>
          </w:rPr>
          <m:t xml:space="preserve">queue_arr &gt; </m:t>
        </m:r>
        <m:r>
          <w:rPr>
            <w:rFonts w:ascii="Courier New" w:cs="Courier New" w:eastAsia="Courier New" w:hAnsi="Courier New"/>
            <w:color w:val="b5cea8"/>
            <w:sz w:val="21"/>
            <w:szCs w:val="21"/>
          </w:rPr>
          <m:t xml:space="preserve">5</m:t>
        </m:r>
        <m:r>
          <w:rPr>
            <w:rFonts w:ascii="Courier New" w:cs="Courier New" w:eastAsia="Courier New" w:hAnsi="Courier New"/>
            <w:color w:val="dcdcdc"/>
            <w:sz w:val="21"/>
            <w:szCs w:val="21"/>
          </w:rPr>
          <m:t xml:space="preserve">)</m:t>
        </m:r>
        <m:r>
          <w:rPr>
            <w:rFonts w:ascii="Courier New" w:cs="Courier New" w:eastAsia="Courier New" w:hAnsi="Courier New"/>
            <w:color w:val="d4d4d4"/>
            <w:sz w:val="21"/>
            <w:szCs w:val="21"/>
          </w:rPr>
          <m:t xml:space="preserve">.mean</m:t>
        </m:r>
        <m:r>
          <w:rPr>
            <w:rFonts w:ascii="Courier New" w:cs="Courier New" w:eastAsia="Courier New" w:hAnsi="Courier New"/>
            <w:color w:val="dcdcdc"/>
            <w:sz w:val="21"/>
            <w:szCs w:val="21"/>
          </w:rPr>
          <m:t xml:space="preserve">())</m:t>
        </m:r>
      </m:oMath>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t xml:space="preserve">This indicator serves as a normalized measure of persistent queuing, allowing for comparisons across scenarios with varying demand levels.</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Finally, average waiting time—defined in SUMO as the accumulated time a vehicle’s speed remains below a stop threshold—was included to quantify vehicle delay at the intersection level.</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b w:val="1"/>
          <w:bCs w:val="1"/>
        </w:rPr>
      </w:pPr>
      <w:r w:rsidDel="00000000" w:rsidR="00000000" w:rsidRPr="00000000">
        <w:rPr>
          <w:b w:val="1"/>
          <w:bCs w:val="1"/>
          <w:rtl w:val="0"/>
        </w:rPr>
        <w:t xml:space="preserve">Environment State Design</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To construct the state representation, a spatial grid-based encoding was adopted, following the approach proposed by </w:t>
      </w:r>
      <w:r w:rsidDel="00000000" w:rsidR="00000000" w:rsidRPr="00000000">
        <w:rPr>
          <w:rtl w:val="0"/>
        </w:rPr>
        <w:t xml:space="preserve">Liang et al. (2018)</w:t>
      </w:r>
      <w:r w:rsidDel="00000000" w:rsidR="00000000" w:rsidRPr="00000000">
        <w:rPr>
          <w:rtl w:val="0"/>
        </w:rPr>
        <w:t xml:space="preserve">. The intersection area is discretized into a fixed-size grid, where each cell encodes localized traffic information. Compared to aggregate state representations based solely on queue length or average speed, this formulation preserves explicit </w:t>
      </w:r>
      <w:r w:rsidDel="00000000" w:rsidR="00000000" w:rsidRPr="00000000">
        <w:rPr>
          <w:rtl w:val="0"/>
        </w:rPr>
        <w:t xml:space="preserve">spatial and positional information</w:t>
      </w:r>
      <w:r w:rsidDel="00000000" w:rsidR="00000000" w:rsidRPr="00000000">
        <w:rPr>
          <w:rtl w:val="0"/>
        </w:rPr>
        <w:t xml:space="preserve"> about vehicle distributions.</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The state representation consists of multiple spatial channels, including a vehicle occupancy grid and a corresponding average speed grid. Occupancy encodes vehicle presence within each spatial cell, while the speed channel provides localized motion information, allowing the agent to distinguish between stopped and freely flowing traffic.</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By maintaining the relative positions of vehicles within the intersection influence area, the grid-based state enables the learning agent to capture spatial traffic patterns such as queue formation, spillback, and uneven lane utilization. This additional spatial context provides richer observational input to the neural network and improves its ability to infer traffic dynamics that are not directly observable through scalar traffic measures alone.</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The observation space was limited to a fixed-radius area centered on the controlled junction. This radius defines the agent’s perceptual horizon and was chosen to capture upstream queue formation and discharge dynamics while excluding distant vehicles with negligible influence on signal control decisions.</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A</w:t>
      </w:r>
      <w:r w:rsidDel="00000000" w:rsidR="00000000" w:rsidRPr="00000000">
        <w:rPr>
          <w:rtl w:val="0"/>
        </w:rPr>
        <w:t xml:space="preserve"> fixed-size spatial grid</w:t>
      </w:r>
      <w:r w:rsidDel="00000000" w:rsidR="00000000" w:rsidRPr="00000000">
        <w:rPr>
          <w:rtl w:val="0"/>
        </w:rPr>
        <w:t xml:space="preserve"> was selected for the state representation in order to limit sparsity in the observation space and to control computational complexity. Rather than discretizing the intersection area at the resolution of individual vehicle dimensions, which would result in a highly sparse and high-dimensional state, the grid resolution was chosen to balance spatial fidelity and learning efficiency.</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This design reduces the dimensionality of the input while preserving the most relevant spatial traffic features, such as queue build-up and vehicle clustering near the stop lines. By avoiding an excessively fine discretization, the resulting state representation improves sample efficiency and stabilizes learning, while remaining computationally tractable for real-time simulation and training.</w:t>
      </w:r>
    </w:p>
    <w:p w:rsidR="00000000" w:rsidDel="00000000" w:rsidP="00000000" w:rsidRDefault="00000000" w:rsidRPr="00000000" w14:paraId="00000023">
      <w:pPr>
        <w:jc w:val="both"/>
        <w:rPr/>
      </w:pPr>
      <w:r w:rsidDel="00000000" w:rsidR="00000000" w:rsidRPr="00000000">
        <w:rPr>
          <w:rtl w:val="0"/>
        </w:rPr>
        <w:t xml:space="preserve">When multiple vehicles occupy the same grid cell, vehicle counts are accumulated and the speed channel stores the average speed within that cell. This prevents information loss in high-density traffic states and allows the representation to scale under congested conditions.</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b w:val="1"/>
          <w:bCs w:val="1"/>
        </w:rPr>
      </w:pPr>
      <w:r w:rsidDel="00000000" w:rsidR="00000000" w:rsidRPr="00000000">
        <w:rPr>
          <w:b w:val="1"/>
          <w:bCs w:val="1"/>
          <w:rtl w:val="0"/>
        </w:rPr>
        <w:t xml:space="preserve">Action Space Design</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Following the definition of the state representation, attention was directed toward the design and validation of the action space and control logic for a reinforcement learning–based traffic signal controller implemented in SUMO via the TraCI interface. The focus was on a single signalized intersection with a fixed signal program composed of eight phases, including four green phases and their corresponding yellow clearance phases.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The action space was defined at the level of green signal selection. Each action corresponds to selecting one of the four admissible green phases, while yellow transitions are handled internally by the control logic to ensure safety and compliance with traffic signal operation constraints. This design decouples the learning agent from low-level safety enforcement, allowing it to operate exclusively on valid and interpretable control decisions.</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A minimum green-time constraint was explicitly enforced to prevent excessive phase switching and unrealistic signal behavior. Once a green phase is activated, the controller must remain in that phase for a predefined minimum duration before any phase change is permitted. During this interval, the action space is restricted to a single “stay” action corresponding to the currently active green phase. Only after the minimum green time elapses is the agent allowed to select among all available green phases.</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Because direct control of signal phases overrides SUMO’s internal phase timing mechanisms, time spent in each phase is not tracked automatically by the simulator. To address this, phase timing was explicitly managed within the control logic by recording the simulation timestamp at which each green phase begins. The elapsed time in the current phase is then computed relative to this stored timestamp, enabling robust enforcement of minimum green constraints independently of SUMO’s internal scheduling.</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Phase transitions were implemented using an intermediate yellow phase, ensuring safe clearance between conflicting green movements. When a phase change is triggered, the controller first switches to the appropriate yellow phase for a fixed clearance duration, advances the simulation accordingly, and then activates the target green phase. This approach guarantees that all phase changes respect real-world traffic signal safety rules while maintaining deterministic control over transition timing.</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The environment step function was designed to be event-driven rather than time-step–driven. Each agent action corresponds to one complete decision cycle, defined as the interval from the current green phase to the next decision point at a subsequent green phase. During this interval, the simulation advances automatically through yellow transitions and green phases as required. Observations and rewards are computed only at these decision points, aligning the temporal abstraction of the reinforcement learning problem with the operational structure of traffic signal control.</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Extensive sanity checks were performed using a random policy to validate the correctness of the control logic. Logged outputs confirmed that the action space behaves as intended: action availability is restricted during yellow phases, limited during minimum green intervals, and fully available once switching becomes permissible. Observed phase transitions matched the expected green–yellow–green sequences, and no deadlocks or unsafe transitions were detected.</w:t>
      </w:r>
    </w:p>
    <w:p w:rsidR="00000000" w:rsidDel="00000000" w:rsidP="00000000" w:rsidRDefault="00000000" w:rsidRPr="00000000" w14:paraId="0000002D">
      <w:pPr>
        <w:spacing w:after="240" w:before="240" w:lineRule="auto"/>
        <w:jc w:val="both"/>
        <w:rPr/>
      </w:pPr>
      <w:r w:rsidDel="00000000" w:rsidR="00000000" w:rsidRPr="00000000">
        <w:rPr>
          <w:rtl w:val="0"/>
        </w:rPr>
        <w:t xml:space="preserve">These results confirm that the action space, timing constraints, and transition logic form a consistent and RL-compatible control interface. The resulting environment provides a stable foundation for training and evaluating learning-based traffic signal controllers while preserving realistic signal operation and safety guarantees.</w:t>
      </w:r>
    </w:p>
    <w:p w:rsidR="00000000" w:rsidDel="00000000" w:rsidP="00000000" w:rsidRDefault="00000000" w:rsidRPr="00000000" w14:paraId="0000002E">
      <w:pPr>
        <w:keepNext w:val="0"/>
        <w:keepLines w:val="0"/>
        <w:spacing w:after="80" w:lineRule="auto"/>
        <w:jc w:val="both"/>
        <w:rPr>
          <w:b w:val="1"/>
          <w:bCs w:val="1"/>
        </w:rPr>
      </w:pPr>
      <w:r w:rsidDel="00000000" w:rsidR="00000000" w:rsidRPr="00000000">
        <w:rPr>
          <w:b w:val="1"/>
          <w:bCs w:val="1"/>
          <w:rtl w:val="0"/>
        </w:rPr>
        <w:t xml:space="preserve">Environment and Simulation Loop</w:t>
      </w:r>
    </w:p>
    <w:p w:rsidR="00000000" w:rsidDel="00000000" w:rsidP="00000000" w:rsidRDefault="00000000" w:rsidRPr="00000000" w14:paraId="0000002F">
      <w:pPr>
        <w:spacing w:after="240" w:before="240" w:lineRule="auto"/>
        <w:jc w:val="both"/>
        <w:rPr/>
      </w:pPr>
      <w:r w:rsidDel="00000000" w:rsidR="00000000" w:rsidRPr="00000000">
        <w:rPr>
          <w:rtl w:val="0"/>
        </w:rPr>
        <w:t xml:space="preserve">The reinforcement learning environment was implemented as a custom event-driven interface between the agent and the SUMO traffic simulator using TraCI. Rather than advancing the simulation at fixed time steps, the environment is structured around </w:t>
      </w:r>
      <w:r w:rsidDel="00000000" w:rsidR="00000000" w:rsidRPr="00000000">
        <w:rPr>
          <w:i w:val="1"/>
          <w:iCs w:val="1"/>
          <w:rtl w:val="0"/>
        </w:rPr>
        <w:t xml:space="preserve">decision events</w:t>
      </w:r>
      <w:r w:rsidDel="00000000" w:rsidR="00000000" w:rsidRPr="00000000">
        <w:rPr>
          <w:rtl w:val="0"/>
        </w:rPr>
        <w:t xml:space="preserve"> aligned with traffic signal operation. Each agent action corresponds to a complete signal control cycle, beginning at a green phase and terminating at the next admissible decision point.</w:t>
      </w:r>
    </w:p>
    <w:p w:rsidR="00000000" w:rsidDel="00000000" w:rsidP="00000000" w:rsidRDefault="00000000" w:rsidRPr="00000000" w14:paraId="00000030">
      <w:pPr>
        <w:spacing w:after="240" w:before="240" w:lineRule="auto"/>
        <w:jc w:val="both"/>
        <w:rPr/>
      </w:pPr>
      <w:r w:rsidDel="00000000" w:rsidR="00000000" w:rsidRPr="00000000">
        <w:rPr>
          <w:rtl w:val="0"/>
        </w:rPr>
        <w:t xml:space="preserve">At the start of each episode, the environment resets the SUMO simulation and initializes internal control state variables, including phase timing and queue history. The initial observation is obtained by constructing the grid-based state representation from the current vehicle distribution within the observation radius of the controlled junction.</w:t>
      </w:r>
    </w:p>
    <w:p w:rsidR="00000000" w:rsidDel="00000000" w:rsidP="00000000" w:rsidRDefault="00000000" w:rsidRPr="00000000" w14:paraId="00000031">
      <w:pPr>
        <w:spacing w:after="240" w:before="240" w:lineRule="auto"/>
        <w:jc w:val="both"/>
        <w:rPr/>
      </w:pPr>
      <w:r w:rsidDel="00000000" w:rsidR="00000000" w:rsidRPr="00000000">
        <w:rPr>
          <w:rtl w:val="0"/>
        </w:rPr>
        <w:t xml:space="preserve">The interaction loop follows the structure illustrated in Figure 1 (Simulation Loop). At each decision point, the agent selects a signal phase action, which is applied through TraCI if and only if it satisfies all operational constraints (green phase active and minimum green time elapsed). Phase transitions are executed via an enforced green–yellow–green sequence, during which the simulation advances automatically without further agent intervention.</w:t>
      </w:r>
    </w:p>
    <w:p w:rsidR="00000000" w:rsidDel="00000000" w:rsidP="00000000" w:rsidRDefault="00000000" w:rsidRPr="00000000" w14:paraId="00000032">
      <w:pPr>
        <w:spacing w:after="240" w:before="240" w:lineRule="auto"/>
        <w:jc w:val="both"/>
        <w:rPr/>
      </w:pPr>
      <w:r w:rsidDel="00000000" w:rsidR="00000000" w:rsidRPr="00000000">
        <w:rPr>
          <w:rtl w:val="0"/>
        </w:rPr>
        <w:t xml:space="preserve">Once an action is applied, the simulation progresses internally for a variable number of microscopic time steps until the next valid decision point is reached. During this interval, traffic dynamics evolve naturally under the selected signal phase. Rewards are accumulated at each simulation step and subsequently normalized by the total control duration, ensuring comparability between actions of different temporal lengths.</w:t>
      </w:r>
    </w:p>
    <w:p w:rsidR="00000000" w:rsidDel="00000000" w:rsidP="00000000" w:rsidRDefault="00000000" w:rsidRPr="00000000" w14:paraId="00000033">
      <w:pPr>
        <w:spacing w:after="240" w:before="240" w:lineRule="auto"/>
        <w:jc w:val="both"/>
        <w:rPr/>
      </w:pPr>
      <w:r w:rsidDel="00000000" w:rsidR="00000000" w:rsidRPr="00000000">
        <w:rPr>
          <w:rtl w:val="0"/>
        </w:rPr>
        <w:t xml:space="preserve">Observations and rewards are returned to the agent only at decision points, resulting in an event-driven Markov Decision Process (MDP) with variable-duration transitions. An episode terminates either when no vehicles remain in the network(the flow file is over) or when a predefined maximum number of decision steps is reached, representing a truncated horizon.</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This design aligns the temporal abstraction of the reinforcement learning problem with real-world traffic signal control, reduces unnecessary decision frequency, and stabilizes learning by preventing spurious reactions to transient microscopic fluctuations, and restricts the agent to act only on legal actions to prevent safety risks..</w:t>
      </w:r>
    </w:p>
    <w:p w:rsidR="00000000" w:rsidDel="00000000" w:rsidP="00000000" w:rsidRDefault="00000000" w:rsidRPr="00000000" w14:paraId="00000035">
      <w:pPr>
        <w:spacing w:after="240" w:before="240" w:lineRule="auto"/>
        <w:jc w:val="both"/>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REWARD DESIGN</w:t>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t xml:space="preserve">While queue length provides a useful proxy for congestion, using a hard queue definition (i.e., counting fully stopped vehicles) results in sparse and discontinuous reward signals. Small changes in traffic conditions may not be reflected in the reward, especially under low or moderate congestion regimes. To address this, a soft queue formulation was adopted, where vehicles contribute gradually to the queue metric as their speed decreases below a predefined threshold. This provides a denser and smoother reward signal, allowing the agent to react not only to fully formed queues but also to emerging congestion.</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t xml:space="preserve">Formally, each vehicle contributes a value in [0,1] depending on its speed, with higher contributions as speed approaches zero. The mean soft queue over all incoming lanes is then used as the primary congestion indicator.</w:t>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To further stabilize learning and avoid purely reactive behavior, a shaping term based on the change in mean queue length between consecutive decision steps was introduced. This term encourages actions that reduce queue growth rather than merely reacting to absolute congestion levels. The resulting formulation incorporates both absolute pressure and short-term trends in traffic accumulation.</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 xml:space="preserve">Additionally, a spillback penalty was retained to strongly discourage situations where queues exceed a critical threshold, signaling near-gridlock conditions. This term acts as a safety constraint, becoming dominant only under extreme congestion.</w:t>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 xml:space="preserve">The final reward function is expressed as:</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sz w:val="68"/>
          <w:szCs w:val="68"/>
        </w:rPr>
      </w:pPr>
      <m:oMath>
        <m:r>
          <w:rPr>
            <w:sz w:val="68"/>
            <w:szCs w:val="68"/>
          </w:rPr>
          <m:t xml:space="preserve">rₜ​=</m:t>
        </m:r>
        <m:f>
          <m:fPr>
            <m:ctrlPr>
              <w:rPr>
                <w:sz w:val="68"/>
                <w:szCs w:val="68"/>
              </w:rPr>
            </m:ctrlPr>
          </m:fPr>
          <m:num>
            <m:r>
              <w:rPr>
                <w:sz w:val="68"/>
                <w:szCs w:val="68"/>
              </w:rPr>
              <m:t xml:space="preserve">−αΔqₜ​​−βSₜ−γqₜ​​</m:t>
            </m:r>
          </m:num>
          <m:den>
            <m:r>
              <w:rPr>
                <w:sz w:val="68"/>
                <w:szCs w:val="68"/>
              </w:rPr>
              <m:t xml:space="preserve">|ℒ|</m:t>
            </m:r>
          </m:den>
        </m:f>
      </m:oMath>
      <w:r w:rsidDel="00000000" w:rsidR="00000000" w:rsidRPr="00000000">
        <w:rPr>
          <w:rtl w:val="0"/>
        </w:rPr>
      </w:r>
    </w:p>
    <w:p w:rsidR="00000000" w:rsidDel="00000000" w:rsidP="00000000" w:rsidRDefault="00000000" w:rsidRPr="00000000" w14:paraId="00000043">
      <w:pPr>
        <w:jc w:val="both"/>
        <w:rPr/>
      </w:pPr>
      <m:oMath>
        <m:r>
          <w:rPr>
            <w:i w:val="1"/>
            <w:iCs w:val="1"/>
          </w:rPr>
          <m:t xml:space="preserve">qₜ </m:t>
        </m:r>
      </m:oMath>
      <w:r w:rsidDel="00000000" w:rsidR="00000000" w:rsidRPr="00000000">
        <w:rPr>
          <w:rtl w:val="0"/>
        </w:rPr>
        <w:t xml:space="preserve">is the mean soft queue over all controlled lanes,</w:t>
      </w:r>
    </w:p>
    <w:p w:rsidR="00000000" w:rsidDel="00000000" w:rsidP="00000000" w:rsidRDefault="00000000" w:rsidRPr="00000000" w14:paraId="00000044">
      <w:pPr>
        <w:jc w:val="both"/>
        <w:rPr/>
      </w:pPr>
      <m:oMath>
        <m:r>
          <w:rPr/>
          <m:t xml:space="preserve">Δqₜ=qₜ-qₜ₋₁</m:t>
        </m:r>
      </m:oMath>
      <w:r w:rsidDel="00000000" w:rsidR="00000000" w:rsidRPr="00000000">
        <w:rPr>
          <w:rtl w:val="0"/>
        </w:rPr>
        <w:t xml:space="preserve">​ is the change in mean queue,</w:t>
      </w:r>
    </w:p>
    <w:p w:rsidR="00000000" w:rsidDel="00000000" w:rsidP="00000000" w:rsidRDefault="00000000" w:rsidRPr="00000000" w14:paraId="00000045">
      <w:pPr>
        <w:jc w:val="both"/>
        <w:rPr/>
      </w:pPr>
      <m:oMath>
        <m:r>
          <w:rPr/>
          <m:t xml:space="preserve">Sₜ​ </m:t>
        </m:r>
      </m:oMath>
      <w:r w:rsidDel="00000000" w:rsidR="00000000" w:rsidRPr="00000000">
        <w:rPr>
          <w:rtl w:val="0"/>
        </w:rPr>
        <w:t xml:space="preserve">is the number of lanes exceeding a spillback threshold,</w:t>
      </w:r>
    </w:p>
    <w:p w:rsidR="00000000" w:rsidDel="00000000" w:rsidP="00000000" w:rsidRDefault="00000000" w:rsidRPr="00000000" w14:paraId="00000046">
      <w:pPr>
        <w:jc w:val="both"/>
        <w:rPr/>
      </w:pPr>
      <m:oMath>
        <m:d>
          <m:dPr>
            <m:begChr m:val="|"/>
            <m:endChr m:val="|"/>
            <m:ctrlPr>
              <w:rPr/>
            </m:ctrlPr>
          </m:dPr>
          <m:e>
            <m:r>
              <w:rPr/>
              <m:t xml:space="preserve">ℒ</m:t>
            </m:r>
          </m:e>
        </m:d>
      </m:oMath>
      <w:r w:rsidDel="00000000" w:rsidR="00000000" w:rsidRPr="00000000">
        <w:rPr>
          <w:rtl w:val="0"/>
        </w:rPr>
        <w:t xml:space="preserve"> is the number of controlled lanes, used to normalize the reward scale.</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t xml:space="preserve">This formulation ensures that the reward signal remains dense, locally observable, and stationary, while still aligning strongly with system-level performance metrics such as queue length and waiting time. Correlation analysis confirmed a strong negative relationship between reward and mean queue length, as well as an emergent reduction in average waiting time, despite the latter not being explicitly optimized.</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Fonts w:ascii="Arial Unicode MS" w:cs="Arial Unicode MS" w:eastAsia="Arial Unicode MS" w:hAnsi="Arial Unicode MS"/>
          <w:rtl w:val="0"/>
        </w:rPr>
        <w:t xml:space="preserve">Lowering the spillback threshold to one vehicle per lane caused the reward to become strongly anti-correlated with spillback (ρ ≈ −0.99), indicating that the agent is primarily incentivized to prevent intersection blocking. This aligns the reward with a causal congestion bottleneck rather than aggregate delay metrics.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jc w:val="both"/>
        <w:rPr>
          <w:b w:val="1"/>
          <w:bCs w:val="1"/>
          <w:sz w:val="34"/>
          <w:szCs w:val="34"/>
        </w:rPr>
      </w:pPr>
      <w:bookmarkStart w:colFirst="0" w:colLast="0" w:name="_plkds3e5yv9f" w:id="1"/>
      <w:bookmarkEnd w:id="1"/>
      <w:r w:rsidDel="00000000" w:rsidR="00000000" w:rsidRPr="00000000">
        <w:rPr>
          <w:b w:val="1"/>
          <w:bCs w:val="1"/>
          <w:sz w:val="34"/>
          <w:szCs w:val="34"/>
          <w:rtl w:val="0"/>
        </w:rPr>
        <w:t xml:space="preserve">Learning Algorithm: Deep SARSA</w:t>
      </w:r>
    </w:p>
    <w:p w:rsidR="00000000" w:rsidDel="00000000" w:rsidP="00000000" w:rsidRDefault="00000000" w:rsidRPr="00000000" w14:paraId="0000004D">
      <w:pPr>
        <w:spacing w:after="240" w:before="240" w:lineRule="auto"/>
        <w:jc w:val="both"/>
        <w:rPr/>
      </w:pPr>
      <w:r w:rsidDel="00000000" w:rsidR="00000000" w:rsidRPr="00000000">
        <w:rPr>
          <w:rtl w:val="0"/>
        </w:rPr>
        <w:t xml:space="preserve">To learn a control policy over the defined environment, an on-policy Deep SARSA algorithm was employed. SARSA was selected in preference to off-policy methods such as Q-learning due to its compatibility with safety-constrained action spaces and its tendency to learn smoother, more conservative policies—an important consideration in traffic signal control.</w:t>
      </w:r>
    </w:p>
    <w:p w:rsidR="00000000" w:rsidDel="00000000" w:rsidP="00000000" w:rsidRDefault="00000000" w:rsidRPr="00000000" w14:paraId="0000004E">
      <w:pPr>
        <w:spacing w:after="240" w:before="240" w:lineRule="auto"/>
        <w:jc w:val="both"/>
        <w:rPr/>
      </w:pPr>
      <w:r w:rsidDel="00000000" w:rsidR="00000000" w:rsidRPr="00000000">
        <w:rPr>
          <w:rtl w:val="0"/>
        </w:rPr>
        <w:t xml:space="preserve">The action-value function Q(s,a) is approximated using a convolutional neural network that processes the spatial grid-based state representation. The network consists of multiple convolutional layers to extract spatial traffic features, followed by fully connected layers that map the learned representation to action-value estimates for each admissible green phase. The network outputs a vector of Q-values, one per action, without an explicit activation function at the output layer.</w:t>
      </w:r>
    </w:p>
    <w:p w:rsidR="00000000" w:rsidDel="00000000" w:rsidP="00000000" w:rsidRDefault="00000000" w:rsidRPr="00000000" w14:paraId="0000004F">
      <w:pPr>
        <w:spacing w:after="240" w:before="240" w:lineRule="auto"/>
        <w:jc w:val="both"/>
        <w:rPr/>
      </w:pPr>
      <w:r w:rsidDel="00000000" w:rsidR="00000000" w:rsidRPr="00000000">
        <w:rPr>
          <w:rtl w:val="0"/>
        </w:rPr>
        <w:t xml:space="preserve">Action selection follows an ε-greedy policy constrained by the set of legal actions available at the current decision point. During exploration, actions are sampled uniformly from the legal set, while during exploitation the action with the highest predicted Q-value among admissible actions is selected. This masking mechanism ensures that the agent never selects invalid or unsafe signal phases.</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Learning proceeds according to the SARSA update rule. After executing an action and observing the resulting reward and next state, the agent selects the next action using the same ε-greedy policy. The temporal-difference target is then computed as:</w:t>
      </w:r>
    </w:p>
    <w:p w:rsidR="00000000" w:rsidDel="00000000" w:rsidP="00000000" w:rsidRDefault="00000000" w:rsidRPr="00000000" w14:paraId="00000051">
      <w:pPr>
        <w:jc w:val="both"/>
        <w:rPr>
          <w:sz w:val="40"/>
          <w:szCs w:val="40"/>
        </w:rPr>
      </w:pPr>
      <m:oMath>
        <m:r>
          <w:rPr>
            <w:sz w:val="40"/>
            <w:szCs w:val="40"/>
          </w:rPr>
          <m:t xml:space="preserve">𝘘(sₜ,aₜ)</m:t>
        </m:r>
        <m:r>
          <w:rPr>
            <w:sz w:val="40"/>
            <w:szCs w:val="40"/>
          </w:rPr>
          <m:t>←</m:t>
        </m:r>
        <m:r>
          <w:rPr>
            <w:sz w:val="40"/>
            <w:szCs w:val="40"/>
          </w:rPr>
          <m:t xml:space="preserve">rₜ + </m:t>
        </m:r>
        <m:r>
          <w:rPr>
            <w:sz w:val="40"/>
            <w:szCs w:val="40"/>
          </w:rPr>
          <m:t>γ</m:t>
        </m:r>
        <m:r>
          <w:rPr>
            <w:sz w:val="40"/>
            <w:szCs w:val="40"/>
          </w:rPr>
          <m:t xml:space="preserve">Q(sₜ₊₁,aₜ₊₁)</m:t>
        </m:r>
      </m:oMath>
      <w:r w:rsidDel="00000000" w:rsidR="00000000" w:rsidRPr="00000000">
        <w:rPr>
          <w:rtl w:val="0"/>
        </w:rPr>
      </w:r>
    </w:p>
    <w:p w:rsidR="00000000" w:rsidDel="00000000" w:rsidP="00000000" w:rsidRDefault="00000000" w:rsidRPr="00000000" w14:paraId="00000052">
      <w:pPr>
        <w:spacing w:after="240" w:before="240" w:lineRule="auto"/>
        <w:jc w:val="both"/>
        <w:rPr/>
      </w:pPr>
      <w:r w:rsidDel="00000000" w:rsidR="00000000" w:rsidRPr="00000000">
        <w:rPr>
          <w:rtl w:val="0"/>
        </w:rPr>
        <w:t xml:space="preserve">where gamma is the discount factor. For terminal states, the bootstrap term is omitted. Gradients are computed with respect to the squared temporal-difference error and applied using the Adam optimizer, with gradient clipping employed to improve numerical stability.</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Because environment transitions correspond to variable-duration control cycles, rewards are normalized by the number of microscopic simulation steps elapsed during each action. This prevents longer green phases from being systematically penalized or favored due solely to their duration.</w:t>
      </w:r>
    </w:p>
    <w:p w:rsidR="00000000" w:rsidDel="00000000" w:rsidP="00000000" w:rsidRDefault="00000000" w:rsidRPr="00000000" w14:paraId="00000054">
      <w:pPr>
        <w:jc w:val="both"/>
        <w:rPr/>
      </w:pPr>
      <w:r w:rsidDel="00000000" w:rsidR="00000000" w:rsidRPr="00000000">
        <w:rPr>
          <w:rtl w:val="0"/>
        </w:rPr>
        <w:t xml:space="preserve">The training environment consisted of a continuous 72-hour traffic demand profile. Given a decision-based control abstraction with an average decision interval of approximately 15–20 seconds, the agent experienced between 40 and 55 hours of effective signal control per training run. This ensured exposure to multiple daily demand cycles and avoided overfitting to static traffic snapshots.</w:t>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b w:val="1"/>
          <w:bCs w:val="1"/>
          <w:rtl w:val="0"/>
        </w:rPr>
        <w:t xml:space="preserve">DEEP SARSA TRAINING AND EVALUATION</w:t>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tl w:val="0"/>
        </w:rPr>
        <w:t xml:space="preserve">After 2,000 training episodes, learning performance exhibited a pronounced plateau. This stabilization aligns temporally with the exploration rate (ε) attaining its predefined minimum value (ε = 0.05) at approximately episode 800, as dictated by the exponential decay schedule. Subsequent training beyond this inflection point failed to produce consistent gains in agent performance.</w:t>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t xml:space="preserve">Post-plateau agent behavior was consistent with convergence to a locally optimal policy. While routine control actions generally prevented severe network degradation, the policy demonstrated a limited corrective capacity under states of high congestion. Specifically, the controller proved inefficient in recovering from these states, often resulting in sustained queue accumulation. This shortcoming suggests that the policy's adaptability is constrained under conditions of minimal exploration.</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t xml:space="preserve">Based on the observed performance plateau and qualitative behavioral limitations, training was formally terminated at 2,000 episodes. The resultant model was preserved as a comparative baseline for subsequent experimentation. Future investigations will probe modified training regimes—including attenuated ε-decay schedules—to evaluate whether extended exploration phases can enhance policy recovery from congested states.</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t xml:space="preserve">An auxiliary experiment employing a reduced epsilon decay factor of 0.999 was conducted. Although training proceeded to the pre-defined limit of 2,000 episodes, the optimal policy emerged significantly earlier. Performance was observed to degrade with continued training under collapsed exploration, this phenomenon necessitated a revised termination protocol.</w:t>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t xml:space="preserve">Revised Training Termination Protocol</w:t>
      </w:r>
    </w:p>
    <w:p w:rsidR="00000000" w:rsidDel="00000000" w:rsidP="00000000" w:rsidRDefault="00000000" w:rsidRPr="00000000" w14:paraId="00000061">
      <w:pPr>
        <w:jc w:val="both"/>
        <w:rPr/>
      </w:pPr>
      <w:r w:rsidDel="00000000" w:rsidR="00000000" w:rsidRPr="00000000">
        <w:rPr>
          <w:rtl w:val="0"/>
        </w:rPr>
        <w:t xml:space="preserve">Due to the observed performance degradation post exploration-collapse, training was subsequently halted using an evaluation-based early stopping criterion. This method triggers termination upon performance regression in fixed-demand evaluation scenarios, superseding the reliance on training loss convergence metrics.</w:t>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jc w:val="both"/>
        <w:rPr/>
      </w:pPr>
      <w:r w:rsidDel="00000000" w:rsidR="00000000" w:rsidRPr="00000000">
        <w:rPr>
          <w:rtl w:val="0"/>
        </w:rPr>
        <w:t xml:space="preserve">To assess the trade-off between computational efficiency and model fidelity, the network grid size was reduced from 20×20 to 10×10. This modification yielded a substantial reduction in computational expense: training duration for 2,000 episodes decreased from approximately 16 hours to 9 hours and 32 minutes. The impact of this reduced spatial resolution on policy quality and generalizability is a subject of ongoing quantitative analysis.</w:t>
      </w:r>
    </w:p>
    <w:p w:rsidR="00000000" w:rsidDel="00000000" w:rsidP="00000000" w:rsidRDefault="00000000" w:rsidRPr="00000000" w14:paraId="00000064">
      <w:pPr>
        <w:spacing w:after="240" w:before="240" w:lineRule="auto"/>
        <w:jc w:val="both"/>
        <w:rPr/>
      </w:pPr>
      <w:r w:rsidDel="00000000" w:rsidR="00000000" w:rsidRPr="00000000">
        <w:rPr>
          <w:rtl w:val="0"/>
        </w:rPr>
        <w:t xml:space="preserve">A revised sequence was created to analyze every simulation step instead of only using the model in decision points. Changing the model from an event driven model, to true markov-chain implementation.During the present iteration, the Deep SARSA framework was enhanced to improve robustness and simulation fidelity. Legal-action handling was modified to safely accommodate SUMO traffic light yellow phases and transient states where no green action was permissible, preventing runtime errors during both training and evaluation. SARSA updates were adapted to distinguish decision points from intermediate simulation steps, ensuring accurate Q-target computation. Step logging was standardized to capture all transitions, and evaluation mode now correctly executes greedy action selection only when legal actions are available.</w:t>
      </w:r>
    </w:p>
    <w:p w:rsidR="00000000" w:rsidDel="00000000" w:rsidP="00000000" w:rsidRDefault="00000000" w:rsidRPr="00000000" w14:paraId="00000065">
      <w:pPr>
        <w:jc w:val="both"/>
        <w:rPr/>
      </w:pPr>
      <w:r w:rsidDel="00000000" w:rsidR="00000000" w:rsidRPr="00000000">
        <w:rPr>
          <w:rtl w:val="0"/>
        </w:rPr>
        <w:t xml:space="preserve">Tested SARSA with lower gamma from 0.99 to 0.95 for performance evaluation as In traffic RL, gamma is tightly linked to congestion recovery behavior.</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