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00" w:after="80" w:line="276" w:lineRule="auto"/>
        <w:jc w:val="center"/>
      </w:pPr>
      <w:r>
        <w:rPr>
          <w:b/>
          <w:bCs/>
          <w:sz w:val="28"/>
          <w:szCs w:val="28"/>
        </w:rPr>
        <w:t xml:space="preserve">LAPORAN UJIAN TENGAH SEMESTER (UTS)</w:t>
      </w:r>
    </w:p>
    <w:p>
      <w:pPr>
        <w:spacing w:before="0" w:after="360" w:line="276" w:lineRule="auto"/>
        <w:jc w:val="center"/>
      </w:pPr>
      <w:r>
        <w:rPr>
          <w:b/>
          <w:bCs/>
          <w:sz w:val="28"/>
          <w:szCs w:val="28"/>
        </w:rPr>
        <w:t xml:space="preserve">MATA KULIAH VISUALISASI DATA</w:t>
      </w:r>
    </w:p>
    <w:p>
      <w:pPr>
        <w:spacing w:before="0" w:after="80" w:line="276" w:lineRule="auto"/>
        <w:jc w:val="center"/>
      </w:pPr>
      <w:r>
        <w:rPr>
          <w:b/>
          <w:bCs/>
          <w:sz w:val="26"/>
          <w:szCs w:val="26"/>
        </w:rPr>
        <w:t xml:space="preserve">VISUALISASI DATA MENGGUNAKAN PYTHON</w:t>
      </w:r>
    </w:p>
    <w:p>
      <w:pPr>
        <w:spacing w:before="0" w:after="80" w:line="276" w:lineRule="auto"/>
        <w:jc w:val="center"/>
      </w:pPr>
      <w:r>
        <w:rPr>
          <w:b/>
          <w:bCs/>
          <w:sz w:val="26"/>
          <w:szCs w:val="26"/>
        </w:rPr>
        <w:t xml:space="preserve">ANALISIS PERGERAKAN HARGA SAHAM BBCA</w:t>
      </w:r>
    </w:p>
    <w:p>
      <w:pPr>
        <w:spacing w:before="0" w:after="600" w:line="276" w:lineRule="auto"/>
        <w:jc w:val="center"/>
      </w:pPr>
      <w:r>
        <w:rPr>
          <w:b/>
          <w:bCs/>
          <w:sz w:val="24"/>
          <w:szCs w:val="24"/>
        </w:rPr>
        <w:t xml:space="preserve">STUDI KASUS: DATA HARGA SAHAM PT BANK CENTRAL ASIA TBK (2020–2026)</w:t>
      </w:r>
    </w:p>
    <w:p>
      <w:pPr>
        <w:spacing w:before="0" w:after="600" w:line="276" w:lineRule="auto"/>
        <w:jc w:val="center"/>
      </w:pPr>
      <w:r>
        <w:drawing>
          <wp:inline distT="0" distB="0" distL="0" distR="0">
            <wp:extent cx="2015999" cy="2413383"/>
            <wp:docPr id="210" name="Gambar 10"/>
            <wp:cNvGraphicFramePr>
              <a:graphicFrameLocks noChangeAspect="1"/>
            </wp:cNvGraphicFramePr>
            <a:graphic>
              <a:graphicData uri="http://schemas.openxmlformats.org/drawingml/2006/picture">
                <pic:pic>
                  <pic:nvPicPr>
                    <pic:cNvPr id="210" name="img10.png"/>
                    <pic:cNvPicPr/>
                  </pic:nvPicPr>
                  <pic:blipFill>
                    <a:blip r:embed="rIdImg10"/>
                    <a:stretch>
                      <a:fillRect/>
                    </a:stretch>
                  </pic:blipFill>
                  <pic:spPr>
                    <a:xfrm>
                      <a:off x="0" y="0"/>
                      <a:ext cx="2015999" cy="2413383"/>
                    </a:xfrm>
                    <a:prstGeom prst="rect">
                      <a:avLst/>
                    </a:prstGeom>
                  </pic:spPr>
                </pic:pic>
              </a:graphicData>
            </a:graphic>
          </wp:inline>
        </w:drawing>
      </w:r>
    </w:p>
    <w:p>
      <w:pPr>
        <w:spacing w:before="0" w:after="120" w:line="276" w:lineRule="auto"/>
        <w:jc w:val="center"/>
      </w:pPr>
      <w:r>
        <w:rPr>
          <w:sz w:val="24"/>
          <w:szCs w:val="24"/>
        </w:rPr>
        <w:t xml:space="preserve">Disusun oleh:</w:t>
      </w:r>
    </w:p>
    <w:p>
      <w:pPr>
        <w:spacing w:before="0" w:after="60" w:line="276" w:lineRule="auto"/>
        <w:jc w:val="center"/>
      </w:pPr>
      <w:r>
        <w:rPr>
          <w:b/>
          <w:bCs/>
          <w:sz w:val="26"/>
          <w:szCs w:val="26"/>
        </w:rPr>
        <w:t xml:space="preserve">Moch. Rif'an Fatoni</w:t>
      </w:r>
    </w:p>
    <w:p>
      <w:pPr>
        <w:spacing w:before="0" w:after="60" w:line="276" w:lineRule="auto"/>
        <w:jc w:val="center"/>
      </w:pPr>
      <w:r>
        <w:rPr>
          <w:sz w:val="24"/>
          <w:szCs w:val="24"/>
        </w:rPr>
        <w:t xml:space="preserve">NIM 231101037</w:t>
      </w:r>
    </w:p>
    <w:p>
      <w:pPr>
        <w:spacing w:before="0" w:after="900" w:line="276" w:lineRule="auto"/>
        <w:jc w:val="center"/>
      </w:pPr>
      <w:r>
        <w:rPr>
          <w:sz w:val="24"/>
          <w:szCs w:val="24"/>
        </w:rPr>
        <w:t xml:space="preserve">Kelas TI7B</w:t>
      </w:r>
    </w:p>
    <w:p>
      <w:pPr>
        <w:spacing w:before="0" w:after="0" w:line="276" w:lineRule="auto"/>
        <w:jc w:val="center"/>
      </w:pPr>
      <w:r>
        <w:rPr>
          <w:b/>
          <w:bCs/>
          <w:sz w:val="26"/>
          <w:szCs w:val="26"/>
        </w:rPr>
        <w:t xml:space="preserve">PROGRAM STUDI TEKNIK INFORMATIKA</w:t>
      </w:r>
    </w:p>
    <w:p>
      <w:pPr>
        <w:spacing w:before="0" w:after="0" w:line="276" w:lineRule="auto"/>
        <w:jc w:val="center"/>
      </w:pPr>
      <w:r>
        <w:rPr>
          <w:b/>
          <w:bCs/>
          <w:sz w:val="26"/>
          <w:szCs w:val="26"/>
        </w:rPr>
        <w:t xml:space="preserve">FAKULTAS SAINS DAN TEKNOLOGI</w:t>
      </w:r>
    </w:p>
    <w:p>
      <w:pPr>
        <w:spacing w:before="0" w:after="0" w:line="276" w:lineRule="auto"/>
        <w:jc w:val="center"/>
      </w:pPr>
      <w:r>
        <w:rPr>
          <w:b/>
          <w:bCs/>
          <w:sz w:val="26"/>
          <w:szCs w:val="26"/>
        </w:rPr>
        <w:t xml:space="preserve">UNIVERSITAS NAHDLATUL ULAMA SUNAN GIRI</w:t>
      </w:r>
    </w:p>
    <w:p>
      <w:pPr>
        <w:spacing w:before="0" w:after="0" w:line="276" w:lineRule="auto"/>
        <w:jc w:val="center"/>
      </w:pPr>
      <w:r>
        <w:rPr>
          <w:b/>
          <w:bCs/>
          <w:sz w:val="26"/>
          <w:szCs w:val="26"/>
        </w:rPr>
        <w:t xml:space="preserve">2026</w:t>
      </w:r>
    </w:p>
    <w:p>
      <w:pPr>
        <w:pageBreakBefore/>
        <w:spacing w:after="360"/>
        <w:jc w:val="center"/>
      </w:pPr>
      <w:r>
        <w:rPr>
          <w:b/>
          <w:bCs/>
          <w:sz w:val="26"/>
          <w:szCs w:val="26"/>
        </w:rPr>
        <w:t xml:space="preserve">DAFTAR ISI</w:t>
      </w:r>
    </w:p>
    <w:p>
      <w:pPr>
        <w:tabs>
          <w:tab w:val="right" w:leader="dot" w:pos="9300"/>
        </w:tabs>
        <w:spacing w:before="0" w:after="100"/>
        <w:ind w:left="0"/>
      </w:pPr>
      <w:r>
        <w:fldChar w:fldCharType="begin"/>
      </w:r>
      <w:r>
        <w:instrText xml:space="preserve"> TOC \o "1-2" \u \h \z </w:instrText>
      </w:r>
      <w:r>
        <w:fldChar w:fldCharType="separate"/>
      </w:r>
      <w:r>
        <w:rPr>
          <w:b/>
          <w:bCs/>
          <w:sz w:val="24"/>
          <w:szCs w:val="24"/>
        </w:rPr>
        <w:t xml:space="preserve">1. Latar Belakang</w:t>
      </w:r>
      <w:r>
        <w:tab/>
      </w:r>
      <w:r>
        <w:rPr>
          <w:b/>
          <w:bCs/>
          <w:sz w:val="24"/>
          <w:szCs w:val="24"/>
        </w:rPr>
        <w:t xml:space="preserve">3</w:t>
      </w:r>
    </w:p>
    <w:p>
      <w:pPr>
        <w:tabs>
          <w:tab w:val="right" w:leader="dot" w:pos="9300"/>
        </w:tabs>
        <w:spacing w:before="0" w:after="100"/>
        <w:ind w:left="0"/>
      </w:pPr>
      <w:r>
        <w:rPr>
          <w:b/>
          <w:bCs/>
          <w:sz w:val="24"/>
          <w:szCs w:val="24"/>
        </w:rPr>
        <w:t xml:space="preserve">2. Tujuan Laporan</w:t>
      </w:r>
      <w:r>
        <w:tab/>
      </w:r>
      <w:r>
        <w:rPr>
          <w:b/>
          <w:bCs/>
          <w:sz w:val="24"/>
          <w:szCs w:val="24"/>
        </w:rPr>
        <w:t xml:space="preserve">3</w:t>
      </w:r>
    </w:p>
    <w:p>
      <w:pPr>
        <w:tabs>
          <w:tab w:val="right" w:leader="dot" w:pos="9300"/>
        </w:tabs>
        <w:spacing w:before="0" w:after="100"/>
        <w:ind w:left="0"/>
      </w:pPr>
      <w:r>
        <w:rPr>
          <w:b/>
          <w:bCs/>
          <w:sz w:val="24"/>
          <w:szCs w:val="24"/>
        </w:rPr>
        <w:t xml:space="preserve">3. Lingkungan Kerja dan Sumber Data</w:t>
      </w:r>
      <w:r>
        <w:tab/>
      </w:r>
      <w:r>
        <w:rPr>
          <w:b/>
          <w:bCs/>
          <w:sz w:val="24"/>
          <w:szCs w:val="24"/>
        </w:rPr>
        <w:t xml:space="preserve">3</w:t>
      </w:r>
    </w:p>
    <w:p>
      <w:pPr>
        <w:tabs>
          <w:tab w:val="right" w:leader="dot" w:pos="9300"/>
        </w:tabs>
        <w:spacing w:before="0" w:after="100"/>
        <w:ind w:left="0"/>
      </w:pPr>
      <w:r>
        <w:rPr>
          <w:b/>
          <w:bCs/>
          <w:sz w:val="24"/>
          <w:szCs w:val="24"/>
        </w:rPr>
        <w:t xml:space="preserve">4. Soal 1: Konsep Dasar Visualisasi Data</w:t>
      </w:r>
      <w:r>
        <w:tab/>
      </w:r>
      <w:r>
        <w:rPr>
          <w:b/>
          <w:bCs/>
          <w:sz w:val="24"/>
          <w:szCs w:val="24"/>
        </w:rPr>
        <w:t xml:space="preserve">5</w:t>
      </w:r>
    </w:p>
    <w:p>
      <w:pPr>
        <w:tabs>
          <w:tab w:val="right" w:leader="dot" w:pos="9300"/>
        </w:tabs>
        <w:spacing w:before="0" w:after="40"/>
        <w:ind w:left="432"/>
      </w:pPr>
      <w:r>
        <w:rPr>
          <w:sz w:val="24"/>
          <w:szCs w:val="24"/>
        </w:rPr>
        <w:t xml:space="preserve">4.1 Pengertian dan Manfaat Visualisasi Data</w:t>
      </w:r>
      <w:r>
        <w:tab/>
      </w:r>
      <w:r>
        <w:rPr>
          <w:sz w:val="24"/>
          <w:szCs w:val="24"/>
        </w:rPr>
        <w:t xml:space="preserve">5</w:t>
      </w:r>
    </w:p>
    <w:p>
      <w:pPr>
        <w:tabs>
          <w:tab w:val="right" w:leader="dot" w:pos="9300"/>
        </w:tabs>
        <w:spacing w:before="0" w:after="40"/>
        <w:ind w:left="432"/>
      </w:pPr>
      <w:r>
        <w:rPr>
          <w:sz w:val="24"/>
          <w:szCs w:val="24"/>
        </w:rPr>
        <w:t xml:space="preserve">4.2 Fungsi Jenis-Jenis Grafik</w:t>
      </w:r>
      <w:r>
        <w:tab/>
      </w:r>
      <w:r>
        <w:rPr>
          <w:sz w:val="24"/>
          <w:szCs w:val="24"/>
        </w:rPr>
        <w:t xml:space="preserve">5</w:t>
      </w:r>
    </w:p>
    <w:p>
      <w:pPr>
        <w:tabs>
          <w:tab w:val="right" w:leader="dot" w:pos="9300"/>
        </w:tabs>
        <w:spacing w:before="0" w:after="40"/>
        <w:ind w:left="432"/>
      </w:pPr>
      <w:r>
        <w:rPr>
          <w:sz w:val="24"/>
          <w:szCs w:val="24"/>
        </w:rPr>
        <w:t xml:space="preserve">4.3 Pemilihan Grafik untuk Kebutuhan Perusahaan</w:t>
      </w:r>
      <w:r>
        <w:tab/>
      </w:r>
      <w:r>
        <w:rPr>
          <w:sz w:val="24"/>
          <w:szCs w:val="24"/>
        </w:rPr>
        <w:t xml:space="preserve">5</w:t>
      </w:r>
    </w:p>
    <w:p>
      <w:pPr>
        <w:tabs>
          <w:tab w:val="right" w:leader="dot" w:pos="9300"/>
        </w:tabs>
        <w:spacing w:before="0" w:after="100"/>
        <w:ind w:left="0"/>
      </w:pPr>
      <w:r>
        <w:rPr>
          <w:b/>
          <w:bCs/>
          <w:sz w:val="24"/>
          <w:szCs w:val="24"/>
        </w:rPr>
        <w:t xml:space="preserve">5. Soal 2: Bar Chart dengan Matplotlib</w:t>
      </w:r>
      <w:r>
        <w:tab/>
      </w:r>
      <w:r>
        <w:rPr>
          <w:b/>
          <w:bCs/>
          <w:sz w:val="24"/>
          <w:szCs w:val="24"/>
        </w:rPr>
        <w:t xml:space="preserve">6</w:t>
      </w:r>
    </w:p>
    <w:p>
      <w:pPr>
        <w:tabs>
          <w:tab w:val="right" w:leader="dot" w:pos="9300"/>
        </w:tabs>
        <w:spacing w:before="0" w:after="100"/>
        <w:ind w:left="0"/>
      </w:pPr>
      <w:r>
        <w:rPr>
          <w:b/>
          <w:bCs/>
          <w:sz w:val="24"/>
          <w:szCs w:val="24"/>
        </w:rPr>
        <w:t xml:space="preserve">6. Soal 3: Visualisasi Tren Penjualan</w:t>
      </w:r>
      <w:r>
        <w:tab/>
      </w:r>
      <w:r>
        <w:rPr>
          <w:b/>
          <w:bCs/>
          <w:sz w:val="24"/>
          <w:szCs w:val="24"/>
        </w:rPr>
        <w:t xml:space="preserve">6</w:t>
      </w:r>
    </w:p>
    <w:p>
      <w:pPr>
        <w:tabs>
          <w:tab w:val="right" w:leader="dot" w:pos="9300"/>
        </w:tabs>
        <w:spacing w:before="0" w:after="100"/>
        <w:ind w:left="0"/>
      </w:pPr>
      <w:r>
        <w:rPr>
          <w:b/>
          <w:bCs/>
          <w:sz w:val="24"/>
          <w:szCs w:val="24"/>
        </w:rPr>
        <w:t xml:space="preserve">7. Soal 4: Pengolahan Data dengan Pandas dan Seaborn</w:t>
      </w:r>
      <w:r>
        <w:tab/>
      </w:r>
      <w:r>
        <w:rPr>
          <w:b/>
          <w:bCs/>
          <w:sz w:val="24"/>
          <w:szCs w:val="24"/>
        </w:rPr>
        <w:t xml:space="preserve">8</w:t>
      </w:r>
    </w:p>
    <w:p>
      <w:pPr>
        <w:tabs>
          <w:tab w:val="right" w:leader="dot" w:pos="9300"/>
        </w:tabs>
        <w:spacing w:before="0" w:after="40"/>
        <w:ind w:left="432"/>
      </w:pPr>
      <w:r>
        <w:rPr>
          <w:sz w:val="24"/>
          <w:szCs w:val="24"/>
        </w:rPr>
        <w:t xml:space="preserve">7.1 DataFrame dan Struktur Dataset</w:t>
      </w:r>
      <w:r>
        <w:tab/>
      </w:r>
      <w:r>
        <w:rPr>
          <w:sz w:val="24"/>
          <w:szCs w:val="24"/>
        </w:rPr>
        <w:t xml:space="preserve">8</w:t>
      </w:r>
    </w:p>
    <w:p>
      <w:pPr>
        <w:tabs>
          <w:tab w:val="right" w:leader="dot" w:pos="9300"/>
        </w:tabs>
        <w:spacing w:before="0" w:after="40"/>
        <w:ind w:left="432"/>
      </w:pPr>
      <w:r>
        <w:rPr>
          <w:sz w:val="24"/>
          <w:szCs w:val="24"/>
        </w:rPr>
        <w:t xml:space="preserve">7.2 Scatter Plot Jam Belajar dan Nilai Ujian</w:t>
      </w:r>
      <w:r>
        <w:tab/>
      </w:r>
      <w:r>
        <w:rPr>
          <w:sz w:val="24"/>
          <w:szCs w:val="24"/>
        </w:rPr>
        <w:t xml:space="preserve">8</w:t>
      </w:r>
    </w:p>
    <w:p>
      <w:pPr>
        <w:tabs>
          <w:tab w:val="right" w:leader="dot" w:pos="9300"/>
        </w:tabs>
        <w:spacing w:before="0" w:after="40"/>
        <w:ind w:left="432"/>
      </w:pPr>
      <w:r>
        <w:rPr>
          <w:sz w:val="24"/>
          <w:szCs w:val="24"/>
        </w:rPr>
        <w:t xml:space="preserve">7.3 Heatmap Korelasi</w:t>
      </w:r>
      <w:r>
        <w:tab/>
      </w:r>
      <w:r>
        <w:rPr>
          <w:sz w:val="24"/>
          <w:szCs w:val="24"/>
        </w:rPr>
        <w:t xml:space="preserve">9</w:t>
      </w:r>
    </w:p>
    <w:p>
      <w:pPr>
        <w:tabs>
          <w:tab w:val="right" w:leader="dot" w:pos="9300"/>
        </w:tabs>
        <w:spacing w:before="0" w:after="40"/>
        <w:ind w:left="432"/>
      </w:pPr>
      <w:r>
        <w:rPr>
          <w:sz w:val="24"/>
          <w:szCs w:val="24"/>
        </w:rPr>
        <w:t xml:space="preserve">7.4 Apakah Hubungan Ini Sebab-Akibat?</w:t>
      </w:r>
      <w:r>
        <w:tab/>
      </w:r>
      <w:r>
        <w:rPr>
          <w:sz w:val="24"/>
          <w:szCs w:val="24"/>
        </w:rPr>
        <w:t xml:space="preserve">9</w:t>
      </w:r>
    </w:p>
    <w:p>
      <w:pPr>
        <w:tabs>
          <w:tab w:val="right" w:leader="dot" w:pos="9300"/>
        </w:tabs>
        <w:spacing w:before="0" w:after="100"/>
        <w:ind w:left="0"/>
      </w:pPr>
      <w:r>
        <w:rPr>
          <w:b/>
          <w:bCs/>
          <w:sz w:val="24"/>
          <w:szCs w:val="24"/>
        </w:rPr>
        <w:t xml:space="preserve">8. Soal 5: Studi Kasus Analisis Data Saham BBCA</w:t>
      </w:r>
      <w:r>
        <w:tab/>
      </w:r>
      <w:r>
        <w:rPr>
          <w:b/>
          <w:bCs/>
          <w:sz w:val="24"/>
          <w:szCs w:val="24"/>
        </w:rPr>
        <w:t xml:space="preserve">10</w:t>
      </w:r>
    </w:p>
    <w:p>
      <w:pPr>
        <w:tabs>
          <w:tab w:val="right" w:leader="dot" w:pos="9300"/>
        </w:tabs>
        <w:spacing w:before="0" w:after="40"/>
        <w:ind w:left="432"/>
      </w:pPr>
      <w:r>
        <w:rPr>
          <w:sz w:val="24"/>
          <w:szCs w:val="24"/>
        </w:rPr>
        <w:t xml:space="preserve">8.1 Tujuan Analisis</w:t>
      </w:r>
      <w:r>
        <w:tab/>
      </w:r>
      <w:r>
        <w:rPr>
          <w:sz w:val="24"/>
          <w:szCs w:val="24"/>
        </w:rPr>
        <w:t xml:space="preserve">10</w:t>
      </w:r>
    </w:p>
    <w:p>
      <w:pPr>
        <w:tabs>
          <w:tab w:val="right" w:leader="dot" w:pos="9300"/>
        </w:tabs>
        <w:spacing w:before="0" w:after="40"/>
        <w:ind w:left="432"/>
      </w:pPr>
      <w:r>
        <w:rPr>
          <w:sz w:val="24"/>
          <w:szCs w:val="24"/>
        </w:rPr>
        <w:t xml:space="preserve">8.2 Informasi Dasar Dataset</w:t>
      </w:r>
      <w:r>
        <w:tab/>
      </w:r>
      <w:r>
        <w:rPr>
          <w:sz w:val="24"/>
          <w:szCs w:val="24"/>
        </w:rPr>
        <w:t xml:space="preserve">10</w:t>
      </w:r>
    </w:p>
    <w:p>
      <w:pPr>
        <w:tabs>
          <w:tab w:val="right" w:leader="dot" w:pos="9300"/>
        </w:tabs>
        <w:spacing w:before="0" w:after="40"/>
        <w:ind w:left="432"/>
      </w:pPr>
      <w:r>
        <w:rPr>
          <w:sz w:val="24"/>
          <w:szCs w:val="24"/>
        </w:rPr>
        <w:t xml:space="preserve">8.3 Visualisasi 1: Tren Harga dan Rata-rata Bergerak</w:t>
      </w:r>
      <w:r>
        <w:tab/>
      </w:r>
      <w:r>
        <w:rPr>
          <w:sz w:val="24"/>
          <w:szCs w:val="24"/>
        </w:rPr>
        <w:t xml:space="preserve">11</w:t>
      </w:r>
    </w:p>
    <w:p>
      <w:pPr>
        <w:tabs>
          <w:tab w:val="right" w:leader="dot" w:pos="9300"/>
        </w:tabs>
        <w:spacing w:before="0" w:after="40"/>
        <w:ind w:left="432"/>
      </w:pPr>
      <w:r>
        <w:rPr>
          <w:sz w:val="24"/>
          <w:szCs w:val="24"/>
        </w:rPr>
        <w:t xml:space="preserve">8.4 Visualisasi 2: Return Tahunan</w:t>
      </w:r>
      <w:r>
        <w:tab/>
      </w:r>
      <w:r>
        <w:rPr>
          <w:sz w:val="24"/>
          <w:szCs w:val="24"/>
        </w:rPr>
        <w:t xml:space="preserve">11</w:t>
      </w:r>
    </w:p>
    <w:p>
      <w:pPr>
        <w:tabs>
          <w:tab w:val="right" w:leader="dot" w:pos="9300"/>
        </w:tabs>
        <w:spacing w:before="0" w:after="40"/>
        <w:ind w:left="432"/>
      </w:pPr>
      <w:r>
        <w:rPr>
          <w:sz w:val="24"/>
          <w:szCs w:val="24"/>
        </w:rPr>
        <w:t xml:space="preserve">8.5 Visualisasi 3: Sebaran Return Harian</w:t>
      </w:r>
      <w:r>
        <w:tab/>
      </w:r>
      <w:r>
        <w:rPr>
          <w:sz w:val="24"/>
          <w:szCs w:val="24"/>
        </w:rPr>
        <w:t xml:space="preserve">12</w:t>
      </w:r>
    </w:p>
    <w:p>
      <w:pPr>
        <w:tabs>
          <w:tab w:val="right" w:leader="dot" w:pos="9300"/>
        </w:tabs>
        <w:spacing w:before="0" w:after="40"/>
        <w:ind w:left="432"/>
      </w:pPr>
      <w:r>
        <w:rPr>
          <w:sz w:val="24"/>
          <w:szCs w:val="24"/>
        </w:rPr>
        <w:t xml:space="preserve">8.6 Visualisasi 4: Volume dan Besarnya Pergerakan Harga</w:t>
      </w:r>
      <w:r>
        <w:tab/>
      </w:r>
      <w:r>
        <w:rPr>
          <w:sz w:val="24"/>
          <w:szCs w:val="24"/>
        </w:rPr>
        <w:t xml:space="preserve">13</w:t>
      </w:r>
    </w:p>
    <w:p>
      <w:pPr>
        <w:tabs>
          <w:tab w:val="right" w:leader="dot" w:pos="9300"/>
        </w:tabs>
        <w:spacing w:before="0" w:after="40"/>
        <w:ind w:left="432"/>
      </w:pPr>
      <w:r>
        <w:rPr>
          <w:sz w:val="24"/>
          <w:szCs w:val="24"/>
        </w:rPr>
        <w:t xml:space="preserve">8.7 Visualisasi 5: Pola Return Bulanan</w:t>
      </w:r>
      <w:r>
        <w:tab/>
      </w:r>
      <w:r>
        <w:rPr>
          <w:sz w:val="24"/>
          <w:szCs w:val="24"/>
        </w:rPr>
        <w:t xml:space="preserve">14</w:t>
      </w:r>
    </w:p>
    <w:p>
      <w:pPr>
        <w:tabs>
          <w:tab w:val="right" w:leader="dot" w:pos="9300"/>
        </w:tabs>
        <w:spacing w:before="0" w:after="40"/>
        <w:ind w:left="432"/>
      </w:pPr>
      <w:r>
        <w:rPr>
          <w:sz w:val="24"/>
          <w:szCs w:val="24"/>
        </w:rPr>
        <w:t xml:space="preserve">8.8 Ringkasan Temuan dan Rekomendasi</w:t>
      </w:r>
      <w:r>
        <w:tab/>
      </w:r>
      <w:r>
        <w:rPr>
          <w:sz w:val="24"/>
          <w:szCs w:val="24"/>
        </w:rPr>
        <w:t xml:space="preserve">15</w:t>
      </w:r>
    </w:p>
    <w:p>
      <w:pPr>
        <w:tabs>
          <w:tab w:val="right" w:leader="dot" w:pos="9300"/>
        </w:tabs>
        <w:spacing w:before="0" w:after="100"/>
        <w:ind w:left="0"/>
      </w:pPr>
      <w:r>
        <w:rPr>
          <w:b/>
          <w:bCs/>
          <w:sz w:val="24"/>
          <w:szCs w:val="24"/>
        </w:rPr>
        <w:t xml:space="preserve">9. Kesimpulan</w:t>
      </w:r>
      <w:r>
        <w:tab/>
      </w:r>
      <w:r>
        <w:rPr>
          <w:b/>
          <w:bCs/>
          <w:sz w:val="24"/>
          <w:szCs w:val="24"/>
        </w:rPr>
        <w:t xml:space="preserve">17</w:t>
      </w:r>
    </w:p>
    <w:p>
      <w:pPr>
        <w:tabs>
          <w:tab w:val="right" w:leader="dot" w:pos="9300"/>
        </w:tabs>
        <w:spacing w:before="0" w:after="100"/>
        <w:ind w:left="0"/>
      </w:pPr>
      <w:r>
        <w:rPr>
          <w:b/>
          <w:bCs/>
          <w:sz w:val="24"/>
          <w:szCs w:val="24"/>
        </w:rPr>
        <w:t xml:space="preserve">10. Keterbatasan dan Saran</w:t>
      </w:r>
      <w:r>
        <w:tab/>
      </w:r>
      <w:r>
        <w:rPr>
          <w:b/>
          <w:bCs/>
          <w:sz w:val="24"/>
          <w:szCs w:val="24"/>
        </w:rPr>
        <w:t xml:space="preserve">17</w:t>
      </w:r>
    </w:p>
    <w:p>
      <w:pPr>
        <w:tabs>
          <w:tab w:val="right" w:leader="dot" w:pos="9300"/>
        </w:tabs>
        <w:spacing w:before="0" w:after="100"/>
        <w:ind w:left="0"/>
      </w:pPr>
      <w:r>
        <w:rPr>
          <w:b/>
          <w:bCs/>
          <w:sz w:val="24"/>
          <w:szCs w:val="24"/>
        </w:rPr>
        <w:t xml:space="preserve">Lampiran</w:t>
      </w:r>
      <w:r>
        <w:tab/>
      </w:r>
      <w:r>
        <w:rPr>
          <w:b/>
          <w:bCs/>
          <w:sz w:val="24"/>
          <w:szCs w:val="24"/>
        </w:rPr>
        <w:t xml:space="preserve">17</w:t>
      </w:r>
      <w:r>
        <w:fldChar w:fldCharType="end"/>
      </w:r>
    </w:p>
    <w:p>
      <w:pPr>
        <w:keepNext/>
        <w:pageBreakBefore/>
        <w:spacing w:before="320" w:after="160"/>
        <w:outlineLvl w:val="0"/>
      </w:pPr>
      <w:r>
        <w:rPr>
          <w:b/>
          <w:bCs/>
          <w:sz w:val="26"/>
          <w:szCs w:val="26"/>
        </w:rPr>
        <w:t xml:space="preserve">1. Latar Belakang</w:t>
      </w:r>
    </w:p>
    <w:p>
      <w:pPr>
        <w:spacing w:before="0" w:after="160" w:line="300" w:lineRule="auto"/>
        <w:ind w:firstLine="576"/>
        <w:jc w:val="both"/>
      </w:pPr>
      <w:r>
        <w:rPr/>
        <w:t xml:space="preserve">Data hanya akan bernilai bila dapat dibaca dan dipahami oleh orang yang mengambil keputusan. Visualisasi data menjembatani hal tersebut dengan mengubah angka menjadi grafik sehingga perbandingan, tren, sebaran, dan hubungan antarvariabel dapat ditangkap dengan cepat. Ujian Tengah Semester mata kuliah Visualisasi Data ini menguji kemampuan tersebut melalui lima soal, mulai dari konsep pemilihan grafik, praktik membuat grafik dengan Matplotlib dan Seaborn, pengolahan data dengan Pandas, hingga studi kasus analisis data mandiri.</w:t>
      </w:r>
    </w:p>
    <w:p>
      <w:pPr>
        <w:spacing w:before="0" w:after="160" w:line="300" w:lineRule="auto"/>
        <w:ind w:firstLine="576"/>
        <w:jc w:val="both"/>
      </w:pPr>
      <w:r>
        <w:rPr/>
        <w:t xml:space="preserve">Untuk studi kasus pada Soal 5, data yang dipilih adalah harga saham harian PT Bank Central Asia Tbk (kode saham BBCA) periode Januari 2020 sampai Oktober 2026. Saham BBCA dipilih karena merupakan salah satu saham berkapitalisasi terbesar di Bursa Efek Indonesia, datanya tersedia secara publik, dan rentang waktunya mencakup beberapa kondisi pasar yang berbeda, mulai dari guncangan awal pandemi tahun 2020, kenaikan bertahap hingga puncak tahun 2024, sampai tekanan harga yang tajam pada 2025–2026. Seluruh pengolahan dan visualisasi dikerjakan dalam notebook Python yang dilampirkan bersama laporan ini.</w:t>
      </w:r>
    </w:p>
    <w:p>
      <w:pPr>
        <w:keepNext/>
        <w:spacing w:before="320" w:after="160"/>
        <w:outlineLvl w:val="0"/>
      </w:pPr>
      <w:r>
        <w:rPr>
          <w:b/>
          <w:bCs/>
          <w:sz w:val="26"/>
          <w:szCs w:val="26"/>
        </w:rPr>
        <w:t xml:space="preserve">2. Tujuan Laporan</w:t>
      </w:r>
    </w:p>
    <w:p>
      <w:pPr>
        <w:spacing w:before="0" w:after="60" w:line="300" w:lineRule="auto"/>
        <w:ind w:left="576" w:hanging="360"/>
        <w:jc w:val="both"/>
      </w:pPr>
      <w:r>
        <w:rPr/>
        <w:t xml:space="preserve">•	Menjelaskan pengertian, manfaat, dan fungsi berbagai jenis grafik serta memilih grafik yang tepat untuk suatu kebutuhan analisis.</w:t>
      </w:r>
    </w:p>
    <w:p>
      <w:pPr>
        <w:spacing w:before="0" w:after="60" w:line="300" w:lineRule="auto"/>
        <w:ind w:left="576" w:hanging="360"/>
        <w:jc w:val="both"/>
      </w:pPr>
      <w:r>
        <w:rPr/>
        <w:t xml:space="preserve">•	Membuat bar chart, line chart, scatter plot, histogram, dan heatmap menggunakan Matplotlib dan Seaborn.</w:t>
      </w:r>
    </w:p>
    <w:p>
      <w:pPr>
        <w:spacing w:before="0" w:after="60" w:line="300" w:lineRule="auto"/>
        <w:ind w:left="576" w:hanging="360"/>
        <w:jc w:val="both"/>
      </w:pPr>
      <w:r>
        <w:rPr/>
        <w:t xml:space="preserve">•	Mengolah data dengan Pandas, meliputi pembuatan DataFrame, pemeriksaan struktur dan kualitas data, pembuatan variabel turunan, agregasi, dan korelasi.</w:t>
      </w:r>
    </w:p>
    <w:p>
      <w:pPr>
        <w:spacing w:before="0" w:after="60" w:line="300" w:lineRule="auto"/>
        <w:ind w:left="576" w:hanging="360"/>
        <w:jc w:val="both"/>
      </w:pPr>
      <w:r>
        <w:rPr/>
        <w:t xml:space="preserve">•	Menganalisis kinerja harga saham BBCA tahun 2020–2026 melalui visualisasi dan menarik implikasi yang dapat ditindaklanjuti.</w:t>
      </w:r>
    </w:p>
    <w:p>
      <w:pPr>
        <w:spacing w:before="0" w:after="140" w:line="300" w:lineRule="auto"/>
        <w:ind w:left="576" w:hanging="360"/>
        <w:jc w:val="both"/>
      </w:pPr>
      <w:r>
        <w:rPr/>
        <w:t xml:space="preserve">•	Membedakan korelasi dengan hubungan sebab-akibat dalam menafsirkan hasil visualisasi.</w:t>
      </w:r>
    </w:p>
    <w:p>
      <w:pPr>
        <w:keepNext/>
        <w:spacing w:before="320" w:after="160"/>
        <w:outlineLvl w:val="0"/>
      </w:pPr>
      <w:r>
        <w:rPr>
          <w:b/>
          <w:bCs/>
          <w:sz w:val="26"/>
          <w:szCs w:val="26"/>
        </w:rPr>
        <w:t xml:space="preserve">3. Lingkungan Kerja dan Sumber Data</w:t>
      </w:r>
    </w:p>
    <w:p>
      <w:pPr>
        <w:spacing w:before="0" w:after="160" w:line="300" w:lineRule="auto"/>
        <w:ind w:firstLine="576"/>
        <w:jc w:val="both"/>
      </w:pPr>
      <w:r>
        <w:rPr/>
        <w:t xml:space="preserve">Analisis dikerjakan dengan Python 3.13 menggunakan pustaka Pandas 3.0, NumPy 2.5, Matplotlib 3.11, dan Seaborn 0.13. Notebook dapat dijalankan di Google Colab maupun Jupyter lokal. Data yang digunakan pada setiap soal dirangkum pada Tabel 1.</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1</w:t>
      </w:r>
      <w:r>
        <w:rPr>
          <w:i/>
          <w:sz w:val="20"/>
        </w:rPr>
        <w:fldChar w:fldCharType="end"/>
      </w:r>
      <w:r>
        <w:rPr>
          <w:i/>
          <w:iCs/>
          <w:sz w:val="20"/>
          <w:szCs w:val="20"/>
        </w:rPr>
        <w:t xml:space="preserve">. Sumber data pada setiap soal</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1300"/>
        <w:gridCol w:w="5600"/>
        <w:gridCol w:w="2400"/>
      </w:tblGrid>
      <w:tr>
        <w:trPr>
          <w:tblHeader/>
        </w:trPr>
        <w:tc>
          <w:tcPr>
            <w:tcW w:w="1300" w:type="dxa"/>
            <w:shd w:val="clear" w:color="auto" w:fill="D9E2F3"/>
            <w:vAlign w:val="center"/>
          </w:tcPr>
          <w:p>
            <w:pPr>
              <w:keepNext/>
              <w:spacing w:before="30" w:after="30" w:line="240" w:lineRule="auto"/>
              <w:jc w:val="center"/>
            </w:pPr>
            <w:r>
              <w:rPr>
                <w:b/>
                <w:bCs/>
                <w:sz w:val="20"/>
                <w:szCs w:val="20"/>
              </w:rPr>
              <w:t xml:space="preserve">Soal</w:t>
            </w:r>
          </w:p>
        </w:tc>
        <w:tc>
          <w:tcPr>
            <w:tcW w:w="5600" w:type="dxa"/>
            <w:shd w:val="clear" w:color="auto" w:fill="D9E2F3"/>
            <w:vAlign w:val="center"/>
          </w:tcPr>
          <w:p>
            <w:pPr>
              <w:keepNext/>
              <w:spacing w:before="30" w:after="30" w:line="240" w:lineRule="auto"/>
              <w:jc w:val="center"/>
            </w:pPr>
            <w:r>
              <w:rPr>
                <w:b/>
                <w:bCs/>
                <w:sz w:val="20"/>
                <w:szCs w:val="20"/>
              </w:rPr>
              <w:t xml:space="preserve">Sumber Data</w:t>
            </w:r>
          </w:p>
        </w:tc>
        <w:tc>
          <w:tcPr>
            <w:tcW w:w="2400" w:type="dxa"/>
            <w:shd w:val="clear" w:color="auto" w:fill="D9E2F3"/>
            <w:vAlign w:val="center"/>
          </w:tcPr>
          <w:p>
            <w:pPr>
              <w:keepNext/>
              <w:spacing w:before="30" w:after="30" w:line="240" w:lineRule="auto"/>
              <w:jc w:val="center"/>
            </w:pPr>
            <w:r>
              <w:rPr>
                <w:b/>
                <w:bCs/>
                <w:sz w:val="20"/>
                <w:szCs w:val="20"/>
              </w:rPr>
              <w:t xml:space="preserve">Jumlah Data</w:t>
            </w:r>
          </w:p>
        </w:tc>
      </w:tr>
      <w:tr>
        <w:trPr>
          <w:cantSplit/>
        </w:trPr>
        <w:tc>
          <w:tcPr>
            <w:tcW w:w="1300" w:type="dxa"/>
            <w:vAlign w:val="center"/>
          </w:tcPr>
          <w:p>
            <w:pPr>
              <w:keepNext/>
              <w:spacing w:before="30" w:after="30" w:line="240" w:lineRule="auto"/>
              <w:jc w:val="center"/>
            </w:pPr>
            <w:r>
              <w:rPr>
                <w:sz w:val="20"/>
                <w:szCs w:val="20"/>
              </w:rPr>
              <w:t xml:space="preserve">Soal 2</w:t>
            </w:r>
          </w:p>
        </w:tc>
        <w:tc>
          <w:tcPr>
            <w:tcW w:w="5600" w:type="dxa"/>
            <w:vAlign w:val="center"/>
          </w:tcPr>
          <w:p>
            <w:pPr>
              <w:keepNext/>
              <w:spacing w:before="30" w:after="30" w:line="240" w:lineRule="auto"/>
              <w:jc w:val="left"/>
            </w:pPr>
            <w:r>
              <w:rPr>
                <w:sz w:val="20"/>
                <w:szCs w:val="20"/>
              </w:rPr>
              <w:t xml:space="preserve">Penjualan lima produk UMKM (lembar UTS)</w:t>
            </w:r>
          </w:p>
        </w:tc>
        <w:tc>
          <w:tcPr>
            <w:tcW w:w="2400" w:type="dxa"/>
            <w:vAlign w:val="center"/>
          </w:tcPr>
          <w:p>
            <w:pPr>
              <w:keepNext/>
              <w:spacing w:before="30" w:after="30" w:line="240" w:lineRule="auto"/>
              <w:jc w:val="center"/>
            </w:pPr>
            <w:r>
              <w:rPr>
                <w:sz w:val="20"/>
                <w:szCs w:val="20"/>
              </w:rPr>
              <w:t xml:space="preserve">5 produk</w:t>
            </w:r>
          </w:p>
        </w:tc>
      </w:tr>
      <w:tr>
        <w:trPr>
          <w:cantSplit/>
        </w:trPr>
        <w:tc>
          <w:tcPr>
            <w:tcW w:w="1300" w:type="dxa"/>
            <w:vAlign w:val="center"/>
          </w:tcPr>
          <w:p>
            <w:pPr>
              <w:keepNext/>
              <w:spacing w:before="30" w:after="30" w:line="240" w:lineRule="auto"/>
              <w:jc w:val="center"/>
            </w:pPr>
            <w:r>
              <w:rPr>
                <w:sz w:val="20"/>
                <w:szCs w:val="20"/>
              </w:rPr>
              <w:t xml:space="preserve">Soal 3</w:t>
            </w:r>
          </w:p>
        </w:tc>
        <w:tc>
          <w:tcPr>
            <w:tcW w:w="5600" w:type="dxa"/>
            <w:vAlign w:val="center"/>
          </w:tcPr>
          <w:p>
            <w:pPr>
              <w:keepNext/>
              <w:spacing w:before="30" w:after="30" w:line="240" w:lineRule="auto"/>
              <w:jc w:val="left"/>
            </w:pPr>
            <w:r>
              <w:rPr>
                <w:sz w:val="20"/>
                <w:szCs w:val="20"/>
              </w:rPr>
              <w:t xml:space="preserve">Penjualan toko online Januari–Juni (lembar UTS)</w:t>
            </w:r>
          </w:p>
        </w:tc>
        <w:tc>
          <w:tcPr>
            <w:tcW w:w="2400" w:type="dxa"/>
            <w:vAlign w:val="center"/>
          </w:tcPr>
          <w:p>
            <w:pPr>
              <w:keepNext/>
              <w:spacing w:before="30" w:after="30" w:line="240" w:lineRule="auto"/>
              <w:jc w:val="center"/>
            </w:pPr>
            <w:r>
              <w:rPr>
                <w:sz w:val="20"/>
                <w:szCs w:val="20"/>
              </w:rPr>
              <w:t xml:space="preserve">6 bulan</w:t>
            </w:r>
          </w:p>
        </w:tc>
      </w:tr>
      <w:tr>
        <w:trPr>
          <w:cantSplit/>
        </w:trPr>
        <w:tc>
          <w:tcPr>
            <w:tcW w:w="1300" w:type="dxa"/>
            <w:vAlign w:val="center"/>
          </w:tcPr>
          <w:p>
            <w:pPr>
              <w:keepNext/>
              <w:spacing w:before="30" w:after="30" w:line="240" w:lineRule="auto"/>
              <w:jc w:val="center"/>
            </w:pPr>
            <w:r>
              <w:rPr>
                <w:sz w:val="20"/>
                <w:szCs w:val="20"/>
              </w:rPr>
              <w:t xml:space="preserve">Soal 4</w:t>
            </w:r>
          </w:p>
        </w:tc>
        <w:tc>
          <w:tcPr>
            <w:tcW w:w="5600" w:type="dxa"/>
            <w:vAlign w:val="center"/>
          </w:tcPr>
          <w:p>
            <w:pPr>
              <w:keepNext/>
              <w:spacing w:before="30" w:after="30" w:line="240" w:lineRule="auto"/>
              <w:jc w:val="left"/>
            </w:pPr>
            <w:r>
              <w:rPr>
                <w:sz w:val="20"/>
                <w:szCs w:val="20"/>
              </w:rPr>
              <w:t xml:space="preserve">Jam belajar, kehadiran, dan nilai enam mahasiswa (lembar UTS)</w:t>
            </w:r>
          </w:p>
        </w:tc>
        <w:tc>
          <w:tcPr>
            <w:tcW w:w="2400" w:type="dxa"/>
            <w:vAlign w:val="center"/>
          </w:tcPr>
          <w:p>
            <w:pPr>
              <w:keepNext/>
              <w:spacing w:before="30" w:after="30" w:line="240" w:lineRule="auto"/>
              <w:jc w:val="center"/>
            </w:pPr>
            <w:r>
              <w:rPr>
                <w:sz w:val="20"/>
                <w:szCs w:val="20"/>
              </w:rPr>
              <w:t xml:space="preserve">6 baris</w:t>
            </w:r>
          </w:p>
        </w:tc>
      </w:tr>
      <w:tr>
        <w:trPr>
          <w:cantSplit/>
        </w:trPr>
        <w:tc>
          <w:tcPr>
            <w:tcW w:w="1300" w:type="dxa"/>
            <w:vAlign w:val="center"/>
          </w:tcPr>
          <w:p>
            <w:pPr>
              <w:spacing w:before="30" w:after="30" w:line="240" w:lineRule="auto"/>
              <w:jc w:val="center"/>
            </w:pPr>
            <w:r>
              <w:rPr>
                <w:sz w:val="20"/>
                <w:szCs w:val="20"/>
              </w:rPr>
              <w:t xml:space="preserve">Soal 5</w:t>
            </w:r>
          </w:p>
        </w:tc>
        <w:tc>
          <w:tcPr>
            <w:tcW w:w="5600" w:type="dxa"/>
            <w:vAlign w:val="center"/>
          </w:tcPr>
          <w:p>
            <w:pPr>
              <w:spacing w:before="30" w:after="30" w:line="240" w:lineRule="auto"/>
              <w:jc w:val="left"/>
            </w:pPr>
            <w:r>
              <w:rPr>
                <w:sz w:val="20"/>
                <w:szCs w:val="20"/>
              </w:rPr>
              <w:t xml:space="preserve">Harga saham harian BBCA (</w:t>
            </w:r>
            <w:r>
              <w:rPr>
                <w:rFonts w:ascii="Courier New" w:hAnsi="Courier New" w:cs="Courier New"/>
                <w:sz w:val="20"/>
                <w:szCs w:val="20"/>
              </w:rPr>
              <w:t xml:space="preserve">BBCA_JK_2020_2026.csv</w:t>
            </w:r>
            <w:r>
              <w:rPr>
                <w:sz w:val="20"/>
                <w:szCs w:val="20"/>
              </w:rPr>
              <w:t xml:space="preserve">)</w:t>
            </w:r>
          </w:p>
        </w:tc>
        <w:tc>
          <w:tcPr>
            <w:tcW w:w="2400" w:type="dxa"/>
            <w:vAlign w:val="center"/>
          </w:tcPr>
          <w:p>
            <w:pPr>
              <w:spacing w:before="30" w:after="30" w:line="240" w:lineRule="auto"/>
              <w:jc w:val="center"/>
            </w:pPr>
            <w:r>
              <w:rPr>
                <w:sz w:val="20"/>
                <w:szCs w:val="20"/>
              </w:rPr>
              <w:t xml:space="preserve">1.637 baris, 7 kolom</w:t>
            </w:r>
          </w:p>
        </w:tc>
      </w:tr>
    </w:tbl>
    <w:p>
      <w:pPr>
        <w:spacing w:before="0" w:after="120" w:line="240" w:lineRule="auto"/>
      </w:pPr>
    </w:p>
    <w:p>
      <w:pPr>
        <w:spacing w:before="0" w:after="160" w:line="300" w:lineRule="auto"/>
        <w:ind w:firstLine="576"/>
        <w:jc w:val="both"/>
      </w:pPr>
      <w:r>
        <w:rPr/>
        <w:t xml:space="preserve">Data Soal 5 berisi harga pembukaan (Open), tertinggi (High), terendah (Low), penutupan (Close), dan volume perdagangan harian saham BBCA dalam rupiah per lembar. Data disusun dari dua sumber publik sebagaimana Tabel 2. Pada 129 hari bursa yang tersedia di kedua sumber (26 Juni–30 Desember 2025), nilai Open, High, Low, dan Close identik, sedangkan volume hanya berbeda kurang dari 0,04% karena pembulatan, sehingga kedua bagian data dapat digabungkan secara konsisten. Harga sudah disesuaikan dengan pemecahan saham (</w:t>
      </w:r>
      <w:r>
        <w:rPr>
          <w:i/>
          <w:iCs/>
        </w:rPr>
        <w:t xml:space="preserve">stock split</w:t>
      </w:r>
      <w:r>
        <w:rPr/>
        <w:t xml:space="preserve">) 1:5 pada tahun 2021.</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2</w:t>
      </w:r>
      <w:r>
        <w:rPr>
          <w:i/>
          <w:sz w:val="20"/>
        </w:rPr>
        <w:fldChar w:fldCharType="end"/>
      </w:r>
      <w:r>
        <w:rPr>
          <w:i/>
          <w:iCs/>
          <w:sz w:val="20"/>
          <w:szCs w:val="20"/>
        </w:rPr>
        <w:t xml:space="preserve">. Sumber data harga saham BBCA</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2700"/>
        <w:gridCol w:w="2700"/>
        <w:gridCol w:w="3900"/>
      </w:tblGrid>
      <w:tr>
        <w:trPr>
          <w:tblHeader/>
        </w:trPr>
        <w:tc>
          <w:tcPr>
            <w:tcW w:w="2700" w:type="dxa"/>
            <w:shd w:val="clear" w:color="auto" w:fill="D9E2F3"/>
            <w:vAlign w:val="center"/>
          </w:tcPr>
          <w:p>
            <w:pPr>
              <w:keepNext/>
              <w:spacing w:before="30" w:after="30" w:line="240" w:lineRule="auto"/>
              <w:jc w:val="center"/>
            </w:pPr>
            <w:r>
              <w:rPr>
                <w:b/>
                <w:bCs/>
                <w:sz w:val="20"/>
                <w:szCs w:val="20"/>
              </w:rPr>
              <w:t xml:space="preserve">Periode</w:t>
            </w:r>
          </w:p>
        </w:tc>
        <w:tc>
          <w:tcPr>
            <w:tcW w:w="2700" w:type="dxa"/>
            <w:shd w:val="clear" w:color="auto" w:fill="D9E2F3"/>
            <w:vAlign w:val="center"/>
          </w:tcPr>
          <w:p>
            <w:pPr>
              <w:keepNext/>
              <w:spacing w:before="30" w:after="30" w:line="240" w:lineRule="auto"/>
              <w:jc w:val="center"/>
            </w:pPr>
            <w:r>
              <w:rPr>
                <w:b/>
                <w:bCs/>
                <w:sz w:val="20"/>
                <w:szCs w:val="20"/>
              </w:rPr>
              <w:t xml:space="preserve">Sumber</w:t>
            </w:r>
          </w:p>
        </w:tc>
        <w:tc>
          <w:tcPr>
            <w:tcW w:w="3900" w:type="dxa"/>
            <w:shd w:val="clear" w:color="auto" w:fill="D9E2F3"/>
            <w:vAlign w:val="center"/>
          </w:tcPr>
          <w:p>
            <w:pPr>
              <w:keepNext/>
              <w:spacing w:before="30" w:after="30" w:line="240" w:lineRule="auto"/>
              <w:jc w:val="center"/>
            </w:pPr>
            <w:r>
              <w:rPr>
                <w:b/>
                <w:bCs/>
                <w:sz w:val="20"/>
                <w:szCs w:val="20"/>
              </w:rPr>
              <w:t xml:space="preserve">Keterangan</w:t>
            </w:r>
          </w:p>
        </w:tc>
      </w:tr>
      <w:tr>
        <w:trPr>
          <w:cantSplit/>
        </w:trPr>
        <w:tc>
          <w:tcPr>
            <w:tcW w:w="2700" w:type="dxa"/>
            <w:vAlign w:val="center"/>
          </w:tcPr>
          <w:p>
            <w:pPr>
              <w:keepNext/>
              <w:spacing w:before="30" w:after="30" w:line="240" w:lineRule="auto"/>
              <w:jc w:val="center"/>
            </w:pPr>
            <w:r>
              <w:rPr>
                <w:sz w:val="20"/>
                <w:szCs w:val="20"/>
              </w:rPr>
              <w:t xml:space="preserve">2 Jan 2020 – 25 Jun 2025</w:t>
            </w:r>
          </w:p>
        </w:tc>
        <w:tc>
          <w:tcPr>
            <w:tcW w:w="2700" w:type="dxa"/>
            <w:vAlign w:val="center"/>
          </w:tcPr>
          <w:p>
            <w:pPr>
              <w:keepNext/>
              <w:spacing w:before="30" w:after="30" w:line="240" w:lineRule="auto"/>
              <w:jc w:val="center"/>
            </w:pPr>
            <w:r>
              <w:rPr>
                <w:sz w:val="20"/>
                <w:szCs w:val="20"/>
              </w:rPr>
              <w:t xml:space="preserve">Data historis Investing.com</w:t>
            </w:r>
          </w:p>
        </w:tc>
        <w:tc>
          <w:tcPr>
            <w:tcW w:w="3900" w:type="dxa"/>
            <w:vAlign w:val="center"/>
          </w:tcPr>
          <w:p>
            <w:pPr>
              <w:keepNext/>
              <w:spacing w:before="30" w:after="30" w:line="240" w:lineRule="auto"/>
              <w:jc w:val="left"/>
            </w:pPr>
            <w:r>
              <w:rPr>
                <w:sz w:val="20"/>
                <w:szCs w:val="20"/>
              </w:rPr>
              <w:t xml:space="preserve">1.318 baris; salinan publik pada repositori GitHub </w:t>
            </w:r>
            <w:r>
              <w:rPr>
                <w:i/>
                <w:iCs/>
                <w:sz w:val="20"/>
                <w:szCs w:val="20"/>
              </w:rPr>
              <w:t xml:space="preserve">MarketPulseIDX</w:t>
            </w:r>
          </w:p>
        </w:tc>
      </w:tr>
      <w:tr>
        <w:trPr>
          <w:cantSplit/>
        </w:trPr>
        <w:tc>
          <w:tcPr>
            <w:tcW w:w="2700" w:type="dxa"/>
            <w:vAlign w:val="center"/>
          </w:tcPr>
          <w:p>
            <w:pPr>
              <w:spacing w:before="30" w:after="30" w:line="240" w:lineRule="auto"/>
              <w:jc w:val="center"/>
            </w:pPr>
            <w:r>
              <w:rPr>
                <w:sz w:val="20"/>
                <w:szCs w:val="20"/>
              </w:rPr>
              <w:t xml:space="preserve">26 Jun 2025 – 28 Okt 2026</w:t>
            </w:r>
          </w:p>
        </w:tc>
        <w:tc>
          <w:tcPr>
            <w:tcW w:w="2700" w:type="dxa"/>
            <w:vAlign w:val="center"/>
          </w:tcPr>
          <w:p>
            <w:pPr>
              <w:spacing w:before="30" w:after="30" w:line="240" w:lineRule="auto"/>
              <w:jc w:val="center"/>
            </w:pPr>
            <w:r>
              <w:rPr>
                <w:sz w:val="20"/>
                <w:szCs w:val="20"/>
              </w:rPr>
              <w:t xml:space="preserve">Yahoo Finance (</w:t>
            </w:r>
            <w:r>
              <w:rPr>
                <w:rFonts w:ascii="Courier New" w:hAnsi="Courier New" w:cs="Courier New"/>
                <w:sz w:val="20"/>
                <w:szCs w:val="20"/>
              </w:rPr>
              <w:t xml:space="preserve">BBCA.JK</w:t>
            </w:r>
            <w:r>
              <w:rPr>
                <w:sz w:val="20"/>
                <w:szCs w:val="20"/>
              </w:rPr>
              <w:t xml:space="preserve">)</w:t>
            </w:r>
          </w:p>
        </w:tc>
        <w:tc>
          <w:tcPr>
            <w:tcW w:w="3900" w:type="dxa"/>
            <w:vAlign w:val="center"/>
          </w:tcPr>
          <w:p>
            <w:pPr>
              <w:spacing w:before="30" w:after="30" w:line="240" w:lineRule="auto"/>
              <w:jc w:val="left"/>
            </w:pPr>
            <w:r>
              <w:rPr>
                <w:sz w:val="20"/>
                <w:szCs w:val="20"/>
              </w:rPr>
              <w:t xml:space="preserve">319 baris; arsip </w:t>
            </w:r>
            <w:r>
              <w:rPr>
                <w:i/>
                <w:iCs/>
                <w:sz w:val="20"/>
                <w:szCs w:val="20"/>
              </w:rPr>
              <w:t xml:space="preserve">scraping</w:t>
            </w:r>
            <w:r>
              <w:rPr>
                <w:sz w:val="20"/>
                <w:szCs w:val="20"/>
              </w:rPr>
              <w:t xml:space="preserve"> harian pada repositori GitHub </w:t>
            </w:r>
            <w:r>
              <w:rPr>
                <w:i/>
                <w:iCs/>
                <w:sz w:val="20"/>
                <w:szCs w:val="20"/>
              </w:rPr>
              <w:t xml:space="preserve">idx-daily-data</w:t>
            </w:r>
            <w:r>
              <w:rPr>
                <w:sz w:val="20"/>
                <w:szCs w:val="20"/>
              </w:rPr>
              <w:t xml:space="preserve"> dan </w:t>
            </w:r>
            <w:r>
              <w:rPr>
                <w:i/>
                <w:iCs/>
                <w:sz w:val="20"/>
                <w:szCs w:val="20"/>
              </w:rPr>
              <w:t xml:space="preserve">ihsg-price</w:t>
            </w:r>
          </w:p>
        </w:tc>
      </w:tr>
    </w:tbl>
    <w:p>
      <w:pPr>
        <w:spacing w:before="0" w:after="120" w:line="240" w:lineRule="auto"/>
      </w:pPr>
    </w:p>
    <w:p>
      <w:pPr>
        <w:spacing w:before="0" w:after="160" w:line="300" w:lineRule="auto"/>
        <w:ind w:firstLine="576"/>
        <w:jc w:val="both"/>
      </w:pPr>
      <w:r>
        <w:rPr/>
        <w:t xml:space="preserve">Notebook juga menyediakan sel untuk mengambil ulang data langsung dari Yahoo Finance dengan pustaka </w:t>
      </w:r>
      <w:r>
        <w:rPr>
          <w:rFonts w:ascii="Courier New" w:hAnsi="Courier New" w:cs="Courier New"/>
          <w:sz w:val="22"/>
          <w:szCs w:val="22"/>
        </w:rPr>
        <w:t xml:space="preserve">yfinance</w:t>
      </w:r>
      <w:r>
        <w:rPr/>
        <w:t xml:space="preserve"> (cukup mengubah </w:t>
      </w:r>
      <w:r>
        <w:rPr>
          <w:rFonts w:ascii="Courier New" w:hAnsi="Courier New" w:cs="Courier New"/>
          <w:sz w:val="22"/>
          <w:szCs w:val="22"/>
        </w:rPr>
        <w:t xml:space="preserve">AMBIL_ULANG_DARI_YAHOO = True</w:t>
      </w:r>
      <w:r>
        <w:rPr/>
        <w:t xml:space="preserve">). Analisis pada laporan ini memakai berkas CSV yang dilampirkan agar seluruh angka dapat diperiksa ulang dan tidak berubah ketika notebook dijalankan kembali.</w:t>
      </w:r>
    </w:p>
    <w:p>
      <w:pPr>
        <w:keepNext/>
        <w:pageBreakBefore/>
        <w:spacing w:before="320" w:after="160"/>
        <w:outlineLvl w:val="0"/>
      </w:pPr>
      <w:r>
        <w:rPr>
          <w:b/>
          <w:bCs/>
          <w:sz w:val="26"/>
          <w:szCs w:val="26"/>
        </w:rPr>
        <w:t xml:space="preserve">4. Soal 1: Konsep Dasar Visualisasi Data</w:t>
      </w:r>
    </w:p>
    <w:p>
      <w:pPr>
        <w:keepNext/>
        <w:spacing w:before="200" w:after="120"/>
        <w:outlineLvl w:val="1"/>
      </w:pPr>
      <w:r>
        <w:rPr>
          <w:b/>
          <w:bCs/>
        </w:rPr>
        <w:t xml:space="preserve">4.1 Pengertian dan Manfaat Visualisasi Data</w:t>
      </w:r>
    </w:p>
    <w:p>
      <w:pPr>
        <w:spacing w:before="0" w:after="160" w:line="300" w:lineRule="auto"/>
        <w:ind w:firstLine="576"/>
        <w:jc w:val="both"/>
      </w:pPr>
      <w:r>
        <w:rPr/>
        <w:t xml:space="preserve">Visualisasi data adalah cara mengubah kumpulan angka menjadi tampilan visual seperti grafik, diagram, atau peta, sehingga isi data dapat ditangkap lebih cepat oleh mata dibandingkan membaca tabel baris demi baris. Manfaatnya dalam pengambilan keputusan antara lain:</w:t>
      </w:r>
    </w:p>
    <w:p>
      <w:pPr>
        <w:spacing w:before="0" w:after="60" w:line="300" w:lineRule="auto"/>
        <w:ind w:left="576" w:hanging="360"/>
        <w:jc w:val="both"/>
      </w:pPr>
      <w:r>
        <w:rPr/>
        <w:t xml:space="preserve">1.	</w:t>
      </w:r>
      <w:r>
        <w:rPr>
          <w:b/>
          <w:bCs/>
        </w:rPr>
        <w:t xml:space="preserve">Meringkas data yang besar.</w:t>
      </w:r>
      <w:r>
        <w:rPr/>
        <w:t xml:space="preserve"> Ratusan hingga ribuan baris dapat dirangkum dalam satu gambar, sehingga kondisi secara umum dapat dipahami sekilas.</w:t>
      </w:r>
    </w:p>
    <w:p>
      <w:pPr>
        <w:spacing w:before="0" w:after="60" w:line="300" w:lineRule="auto"/>
        <w:ind w:left="576" w:hanging="360"/>
        <w:jc w:val="both"/>
      </w:pPr>
      <w:r>
        <w:rPr/>
        <w:t xml:space="preserve">2.	</w:t>
      </w:r>
      <w:r>
        <w:rPr>
          <w:b/>
          <w:bCs/>
        </w:rPr>
        <w:t xml:space="preserve">Menonjolkan pola dan kejanggalan.</w:t>
      </w:r>
      <w:r>
        <w:rPr/>
        <w:t xml:space="preserve"> Tren, pola musiman, lonjakan, dan nilai ekstrem yang tersembunyi di dalam tabel menjadi mudah terlihat.</w:t>
      </w:r>
    </w:p>
    <w:p>
      <w:pPr>
        <w:spacing w:before="0" w:after="140" w:line="300" w:lineRule="auto"/>
        <w:ind w:left="576" w:hanging="360"/>
        <w:jc w:val="both"/>
      </w:pPr>
      <w:r>
        <w:rPr/>
        <w:t xml:space="preserve">3.	</w:t>
      </w:r>
      <w:r>
        <w:rPr>
          <w:b/>
          <w:bCs/>
        </w:rPr>
        <w:t xml:space="preserve">Menjadi dasar keputusan yang objektif.</w:t>
      </w:r>
      <w:r>
        <w:rPr/>
        <w:t xml:space="preserve"> Setiap pihak melihat bukti yang sama, sehingga pilihan tindakan dibandingkan berdasarkan data, bukan dugaan.</w:t>
      </w:r>
    </w:p>
    <w:p>
      <w:pPr>
        <w:keepNext/>
        <w:spacing w:before="200" w:after="120"/>
        <w:outlineLvl w:val="1"/>
      </w:pPr>
      <w:r>
        <w:rPr>
          <w:b/>
          <w:bCs/>
        </w:rPr>
        <w:t xml:space="preserve">4.2 Fungsi Jenis-Jenis Grafik</w:t>
      </w:r>
    </w:p>
    <w:p>
      <w:pPr>
        <w:spacing w:before="0" w:after="160" w:line="300" w:lineRule="auto"/>
        <w:ind w:firstLine="576"/>
        <w:jc w:val="both"/>
      </w:pPr>
      <w:r>
        <w:rPr/>
        <w:t xml:space="preserve">Setiap jenis grafik menjawab jenis pertanyaan yang berbeda, sebagaimana dirangkum pada Tabel 3.</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3</w:t>
      </w:r>
      <w:r>
        <w:rPr>
          <w:i/>
          <w:sz w:val="20"/>
        </w:rPr>
        <w:fldChar w:fldCharType="end"/>
      </w:r>
      <w:r>
        <w:rPr>
          <w:i/>
          <w:iCs/>
          <w:sz w:val="20"/>
          <w:szCs w:val="20"/>
        </w:rPr>
        <w:t xml:space="preserve">. Fungsi lima jenis grafik</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1700"/>
        <w:gridCol w:w="4000"/>
        <w:gridCol w:w="3600"/>
      </w:tblGrid>
      <w:tr>
        <w:trPr>
          <w:tblHeader/>
        </w:trPr>
        <w:tc>
          <w:tcPr>
            <w:tcW w:w="1700" w:type="dxa"/>
            <w:shd w:val="clear" w:color="auto" w:fill="D9E2F3"/>
            <w:vAlign w:val="center"/>
          </w:tcPr>
          <w:p>
            <w:pPr>
              <w:keepNext/>
              <w:spacing w:before="30" w:after="30" w:line="240" w:lineRule="auto"/>
              <w:jc w:val="center"/>
            </w:pPr>
            <w:r>
              <w:rPr>
                <w:b/>
                <w:bCs/>
                <w:sz w:val="20"/>
                <w:szCs w:val="20"/>
              </w:rPr>
              <w:t xml:space="preserve">Jenis Grafik</w:t>
            </w:r>
          </w:p>
        </w:tc>
        <w:tc>
          <w:tcPr>
            <w:tcW w:w="4000" w:type="dxa"/>
            <w:shd w:val="clear" w:color="auto" w:fill="D9E2F3"/>
            <w:vAlign w:val="center"/>
          </w:tcPr>
          <w:p>
            <w:pPr>
              <w:keepNext/>
              <w:spacing w:before="30" w:after="30" w:line="240" w:lineRule="auto"/>
              <w:jc w:val="center"/>
            </w:pPr>
            <w:r>
              <w:rPr>
                <w:b/>
                <w:bCs/>
                <w:sz w:val="20"/>
                <w:szCs w:val="20"/>
              </w:rPr>
              <w:t xml:space="preserve">Pertanyaan yang Dijawab</w:t>
            </w:r>
          </w:p>
        </w:tc>
        <w:tc>
          <w:tcPr>
            <w:tcW w:w="3600" w:type="dxa"/>
            <w:shd w:val="clear" w:color="auto" w:fill="D9E2F3"/>
            <w:vAlign w:val="center"/>
          </w:tcPr>
          <w:p>
            <w:pPr>
              <w:keepNext/>
              <w:spacing w:before="30" w:after="30" w:line="240" w:lineRule="auto"/>
              <w:jc w:val="center"/>
            </w:pPr>
            <w:r>
              <w:rPr>
                <w:b/>
                <w:bCs/>
                <w:sz w:val="20"/>
                <w:szCs w:val="20"/>
              </w:rPr>
              <w:t xml:space="preserve">Contoh</w:t>
            </w:r>
          </w:p>
        </w:tc>
      </w:tr>
      <w:tr>
        <w:trPr>
          <w:cantSplit/>
        </w:trPr>
        <w:tc>
          <w:tcPr>
            <w:tcW w:w="1700" w:type="dxa"/>
            <w:vAlign w:val="center"/>
          </w:tcPr>
          <w:p>
            <w:pPr>
              <w:keepNext/>
              <w:spacing w:before="30" w:after="30" w:line="240" w:lineRule="auto"/>
              <w:jc w:val="left"/>
            </w:pPr>
            <w:r>
              <w:rPr>
                <w:sz w:val="20"/>
                <w:szCs w:val="20"/>
              </w:rPr>
              <w:t xml:space="preserve">Bar chart</w:t>
            </w:r>
          </w:p>
        </w:tc>
        <w:tc>
          <w:tcPr>
            <w:tcW w:w="4000" w:type="dxa"/>
            <w:vAlign w:val="center"/>
          </w:tcPr>
          <w:p>
            <w:pPr>
              <w:keepNext/>
              <w:spacing w:before="30" w:after="30" w:line="240" w:lineRule="auto"/>
              <w:jc w:val="left"/>
            </w:pPr>
            <w:r>
              <w:rPr>
                <w:sz w:val="20"/>
                <w:szCs w:val="20"/>
              </w:rPr>
              <w:t xml:space="preserve">Kategori mana yang nilainya lebih besar atau lebih kecil?</w:t>
            </w:r>
          </w:p>
        </w:tc>
        <w:tc>
          <w:tcPr>
            <w:tcW w:w="3600" w:type="dxa"/>
            <w:vAlign w:val="center"/>
          </w:tcPr>
          <w:p>
            <w:pPr>
              <w:keepNext/>
              <w:spacing w:before="30" w:after="30" w:line="240" w:lineRule="auto"/>
              <w:jc w:val="left"/>
            </w:pPr>
            <w:r>
              <w:rPr>
                <w:sz w:val="20"/>
                <w:szCs w:val="20"/>
              </w:rPr>
              <w:t xml:space="preserve">Jumlah unit terjual per produk</w:t>
            </w:r>
          </w:p>
        </w:tc>
      </w:tr>
      <w:tr>
        <w:trPr>
          <w:cantSplit/>
        </w:trPr>
        <w:tc>
          <w:tcPr>
            <w:tcW w:w="1700" w:type="dxa"/>
            <w:vAlign w:val="center"/>
          </w:tcPr>
          <w:p>
            <w:pPr>
              <w:keepNext/>
              <w:spacing w:before="30" w:after="30" w:line="240" w:lineRule="auto"/>
              <w:jc w:val="left"/>
            </w:pPr>
            <w:r>
              <w:rPr>
                <w:sz w:val="20"/>
                <w:szCs w:val="20"/>
              </w:rPr>
              <w:t xml:space="preserve">Line chart</w:t>
            </w:r>
          </w:p>
        </w:tc>
        <w:tc>
          <w:tcPr>
            <w:tcW w:w="4000" w:type="dxa"/>
            <w:vAlign w:val="center"/>
          </w:tcPr>
          <w:p>
            <w:pPr>
              <w:keepNext/>
              <w:spacing w:before="30" w:after="30" w:line="240" w:lineRule="auto"/>
              <w:jc w:val="left"/>
            </w:pPr>
            <w:r>
              <w:rPr>
                <w:sz w:val="20"/>
                <w:szCs w:val="20"/>
              </w:rPr>
              <w:t xml:space="preserve">Bagaimana nilai berubah dari waktu ke waktu?</w:t>
            </w:r>
          </w:p>
        </w:tc>
        <w:tc>
          <w:tcPr>
            <w:tcW w:w="3600" w:type="dxa"/>
            <w:vAlign w:val="center"/>
          </w:tcPr>
          <w:p>
            <w:pPr>
              <w:keepNext/>
              <w:spacing w:before="30" w:after="30" w:line="240" w:lineRule="auto"/>
              <w:jc w:val="left"/>
            </w:pPr>
            <w:r>
              <w:rPr>
                <w:sz w:val="20"/>
                <w:szCs w:val="20"/>
              </w:rPr>
              <w:t xml:space="preserve">Omzet bulanan selama satu tahun</w:t>
            </w:r>
          </w:p>
        </w:tc>
      </w:tr>
      <w:tr>
        <w:trPr>
          <w:cantSplit/>
        </w:trPr>
        <w:tc>
          <w:tcPr>
            <w:tcW w:w="1700" w:type="dxa"/>
            <w:vAlign w:val="center"/>
          </w:tcPr>
          <w:p>
            <w:pPr>
              <w:keepNext/>
              <w:spacing w:before="30" w:after="30" w:line="240" w:lineRule="auto"/>
              <w:jc w:val="left"/>
            </w:pPr>
            <w:r>
              <w:rPr>
                <w:sz w:val="20"/>
                <w:szCs w:val="20"/>
              </w:rPr>
              <w:t xml:space="preserve">Pie chart</w:t>
            </w:r>
          </w:p>
        </w:tc>
        <w:tc>
          <w:tcPr>
            <w:tcW w:w="4000" w:type="dxa"/>
            <w:vAlign w:val="center"/>
          </w:tcPr>
          <w:p>
            <w:pPr>
              <w:keepNext/>
              <w:spacing w:before="30" w:after="30" w:line="240" w:lineRule="auto"/>
              <w:jc w:val="left"/>
            </w:pPr>
            <w:r>
              <w:rPr>
                <w:sz w:val="20"/>
                <w:szCs w:val="20"/>
              </w:rPr>
              <w:t xml:space="preserve">Berapa porsi tiap bagian terhadap total? (sedikit kategori)</w:t>
            </w:r>
          </w:p>
        </w:tc>
        <w:tc>
          <w:tcPr>
            <w:tcW w:w="3600" w:type="dxa"/>
            <w:vAlign w:val="center"/>
          </w:tcPr>
          <w:p>
            <w:pPr>
              <w:keepNext/>
              <w:spacing w:before="30" w:after="30" w:line="240" w:lineRule="auto"/>
              <w:jc w:val="left"/>
            </w:pPr>
            <w:r>
              <w:rPr>
                <w:sz w:val="20"/>
                <w:szCs w:val="20"/>
              </w:rPr>
              <w:t xml:space="preserve">Pangsa pasar tiga merek</w:t>
            </w:r>
          </w:p>
        </w:tc>
      </w:tr>
      <w:tr>
        <w:trPr>
          <w:cantSplit/>
        </w:trPr>
        <w:tc>
          <w:tcPr>
            <w:tcW w:w="1700" w:type="dxa"/>
            <w:vAlign w:val="center"/>
          </w:tcPr>
          <w:p>
            <w:pPr>
              <w:keepNext/>
              <w:spacing w:before="30" w:after="30" w:line="240" w:lineRule="auto"/>
              <w:jc w:val="left"/>
            </w:pPr>
            <w:r>
              <w:rPr>
                <w:sz w:val="20"/>
                <w:szCs w:val="20"/>
              </w:rPr>
              <w:t xml:space="preserve">Histogram</w:t>
            </w:r>
          </w:p>
        </w:tc>
        <w:tc>
          <w:tcPr>
            <w:tcW w:w="4000" w:type="dxa"/>
            <w:vAlign w:val="center"/>
          </w:tcPr>
          <w:p>
            <w:pPr>
              <w:keepNext/>
              <w:spacing w:before="30" w:after="30" w:line="240" w:lineRule="auto"/>
              <w:jc w:val="left"/>
            </w:pPr>
            <w:r>
              <w:rPr>
                <w:sz w:val="20"/>
                <w:szCs w:val="20"/>
              </w:rPr>
              <w:t xml:space="preserve">Bagaimana sebaran nilai numerik dan di mana nilai paling banyak berkumpul?</w:t>
            </w:r>
          </w:p>
        </w:tc>
        <w:tc>
          <w:tcPr>
            <w:tcW w:w="3600" w:type="dxa"/>
            <w:vAlign w:val="center"/>
          </w:tcPr>
          <w:p>
            <w:pPr>
              <w:keepNext/>
              <w:spacing w:before="30" w:after="30" w:line="240" w:lineRule="auto"/>
              <w:jc w:val="left"/>
            </w:pPr>
            <w:r>
              <w:rPr>
                <w:sz w:val="20"/>
                <w:szCs w:val="20"/>
              </w:rPr>
              <w:t xml:space="preserve">Sebaran nilai UTS satu kelas</w:t>
            </w:r>
          </w:p>
        </w:tc>
      </w:tr>
      <w:tr>
        <w:trPr>
          <w:cantSplit/>
        </w:trPr>
        <w:tc>
          <w:tcPr>
            <w:tcW w:w="1700" w:type="dxa"/>
            <w:vAlign w:val="center"/>
          </w:tcPr>
          <w:p>
            <w:pPr>
              <w:spacing w:before="30" w:after="30" w:line="240" w:lineRule="auto"/>
              <w:jc w:val="left"/>
            </w:pPr>
            <w:r>
              <w:rPr>
                <w:sz w:val="20"/>
                <w:szCs w:val="20"/>
              </w:rPr>
              <w:t xml:space="preserve">Scatter plot</w:t>
            </w:r>
          </w:p>
        </w:tc>
        <w:tc>
          <w:tcPr>
            <w:tcW w:w="4000" w:type="dxa"/>
            <w:vAlign w:val="center"/>
          </w:tcPr>
          <w:p>
            <w:pPr>
              <w:spacing w:before="30" w:after="30" w:line="240" w:lineRule="auto"/>
              <w:jc w:val="left"/>
            </w:pPr>
            <w:r>
              <w:rPr>
                <w:sz w:val="20"/>
                <w:szCs w:val="20"/>
              </w:rPr>
              <w:t xml:space="preserve">Apakah dua variabel numerik bergerak bersama?</w:t>
            </w:r>
          </w:p>
        </w:tc>
        <w:tc>
          <w:tcPr>
            <w:tcW w:w="3600" w:type="dxa"/>
            <w:vAlign w:val="center"/>
          </w:tcPr>
          <w:p>
            <w:pPr>
              <w:spacing w:before="30" w:after="30" w:line="240" w:lineRule="auto"/>
              <w:jc w:val="left"/>
            </w:pPr>
            <w:r>
              <w:rPr>
                <w:sz w:val="20"/>
                <w:szCs w:val="20"/>
              </w:rPr>
              <w:t xml:space="preserve">Biaya iklan dan jumlah penjualan</w:t>
            </w:r>
          </w:p>
        </w:tc>
      </w:tr>
    </w:tbl>
    <w:p>
      <w:pPr>
        <w:spacing w:before="0" w:after="120" w:line="240" w:lineRule="auto"/>
      </w:pPr>
    </w:p>
    <w:p>
      <w:pPr>
        <w:spacing w:before="0" w:after="160" w:line="300" w:lineRule="auto"/>
        <w:ind w:firstLine="576"/>
        <w:jc w:val="both"/>
      </w:pPr>
      <w:r>
        <w:rPr/>
        <w:t xml:space="preserve">Bar chart dan pie chart sama-sama untuk data kategori, tetapi bar chart lebih mudah dibandingkan karena mata lebih teliti menilai panjang batang daripada besar sudut. Line chart menekankan urutan waktu, histogram menekankan bentuk sebaran, sedangkan scatter plot menekankan hubungan antara dua variabel.</w:t>
      </w:r>
    </w:p>
    <w:p>
      <w:pPr>
        <w:keepNext/>
        <w:spacing w:before="200" w:after="120"/>
        <w:outlineLvl w:val="1"/>
      </w:pPr>
      <w:r>
        <w:rPr>
          <w:b/>
          <w:bCs/>
        </w:rPr>
        <w:t xml:space="preserve">4.3 Pemilihan Grafik untuk Kebutuhan Perusahaan</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4</w:t>
      </w:r>
      <w:r>
        <w:rPr>
          <w:i/>
          <w:sz w:val="20"/>
        </w:rPr>
        <w:fldChar w:fldCharType="end"/>
      </w:r>
      <w:r>
        <w:rPr>
          <w:i/>
          <w:iCs/>
          <w:sz w:val="20"/>
          <w:szCs w:val="20"/>
        </w:rPr>
        <w:t xml:space="preserve">. Grafik yang dipilih untuk tiga kebutuhan perusahaan</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3000"/>
        <w:gridCol w:w="1700"/>
        <w:gridCol w:w="4600"/>
      </w:tblGrid>
      <w:tr>
        <w:trPr>
          <w:tblHeader/>
        </w:trPr>
        <w:tc>
          <w:tcPr>
            <w:tcW w:w="3000" w:type="dxa"/>
            <w:shd w:val="clear" w:color="auto" w:fill="D9E2F3"/>
            <w:vAlign w:val="center"/>
          </w:tcPr>
          <w:p>
            <w:pPr>
              <w:keepNext/>
              <w:spacing w:before="30" w:after="30" w:line="240" w:lineRule="auto"/>
              <w:jc w:val="center"/>
            </w:pPr>
            <w:r>
              <w:rPr>
                <w:b/>
                <w:bCs/>
                <w:sz w:val="20"/>
                <w:szCs w:val="20"/>
              </w:rPr>
              <w:t xml:space="preserve">Kebutuhan</w:t>
            </w:r>
          </w:p>
        </w:tc>
        <w:tc>
          <w:tcPr>
            <w:tcW w:w="1700" w:type="dxa"/>
            <w:shd w:val="clear" w:color="auto" w:fill="D9E2F3"/>
            <w:vAlign w:val="center"/>
          </w:tcPr>
          <w:p>
            <w:pPr>
              <w:keepNext/>
              <w:spacing w:before="30" w:after="30" w:line="240" w:lineRule="auto"/>
              <w:jc w:val="center"/>
            </w:pPr>
            <w:r>
              <w:rPr>
                <w:b/>
                <w:bCs/>
                <w:sz w:val="20"/>
                <w:szCs w:val="20"/>
              </w:rPr>
              <w:t xml:space="preserve">Grafik</w:t>
            </w:r>
          </w:p>
        </w:tc>
        <w:tc>
          <w:tcPr>
            <w:tcW w:w="4600" w:type="dxa"/>
            <w:shd w:val="clear" w:color="auto" w:fill="D9E2F3"/>
            <w:vAlign w:val="center"/>
          </w:tcPr>
          <w:p>
            <w:pPr>
              <w:keepNext/>
              <w:spacing w:before="30" w:after="30" w:line="240" w:lineRule="auto"/>
              <w:jc w:val="center"/>
            </w:pPr>
            <w:r>
              <w:rPr>
                <w:b/>
                <w:bCs/>
                <w:sz w:val="20"/>
                <w:szCs w:val="20"/>
              </w:rPr>
              <w:t xml:space="preserve">Alasan</w:t>
            </w:r>
          </w:p>
        </w:tc>
      </w:tr>
      <w:tr>
        <w:trPr>
          <w:cantSplit/>
        </w:trPr>
        <w:tc>
          <w:tcPr>
            <w:tcW w:w="3000" w:type="dxa"/>
            <w:vAlign w:val="center"/>
          </w:tcPr>
          <w:p>
            <w:pPr>
              <w:keepNext/>
              <w:spacing w:before="30" w:after="30" w:line="240" w:lineRule="auto"/>
              <w:jc w:val="left"/>
            </w:pPr>
            <w:r>
              <w:rPr>
                <w:sz w:val="20"/>
                <w:szCs w:val="20"/>
              </w:rPr>
              <w:t xml:space="preserve">Perkembangan penjualan setiap bulan</w:t>
            </w:r>
          </w:p>
        </w:tc>
        <w:tc>
          <w:tcPr>
            <w:tcW w:w="1700" w:type="dxa"/>
            <w:vAlign w:val="center"/>
          </w:tcPr>
          <w:p>
            <w:pPr>
              <w:keepNext/>
              <w:spacing w:before="30" w:after="30" w:line="240" w:lineRule="auto"/>
              <w:jc w:val="center"/>
            </w:pPr>
            <w:r>
              <w:rPr>
                <w:sz w:val="20"/>
                <w:szCs w:val="20"/>
              </w:rPr>
              <w:t xml:space="preserve">Line chart</w:t>
            </w:r>
          </w:p>
        </w:tc>
        <w:tc>
          <w:tcPr>
            <w:tcW w:w="4600" w:type="dxa"/>
            <w:vAlign w:val="center"/>
          </w:tcPr>
          <w:p>
            <w:pPr>
              <w:keepNext/>
              <w:spacing w:before="30" w:after="30" w:line="240" w:lineRule="auto"/>
              <w:jc w:val="left"/>
            </w:pPr>
            <w:r>
              <w:rPr>
                <w:sz w:val="20"/>
                <w:szCs w:val="20"/>
              </w:rPr>
              <w:t xml:space="preserve">Bulan adalah urutan waktu; garis memperlihatkan arah naik atau turun antarperiode.</w:t>
            </w:r>
          </w:p>
        </w:tc>
      </w:tr>
      <w:tr>
        <w:trPr>
          <w:cantSplit/>
        </w:trPr>
        <w:tc>
          <w:tcPr>
            <w:tcW w:w="3000" w:type="dxa"/>
            <w:vAlign w:val="center"/>
          </w:tcPr>
          <w:p>
            <w:pPr>
              <w:keepNext/>
              <w:spacing w:before="30" w:after="30" w:line="240" w:lineRule="auto"/>
              <w:jc w:val="left"/>
            </w:pPr>
            <w:r>
              <w:rPr>
                <w:sz w:val="20"/>
                <w:szCs w:val="20"/>
              </w:rPr>
              <w:t xml:space="preserve">Perbandingan penjualan antarproduk</w:t>
            </w:r>
          </w:p>
        </w:tc>
        <w:tc>
          <w:tcPr>
            <w:tcW w:w="1700" w:type="dxa"/>
            <w:vAlign w:val="center"/>
          </w:tcPr>
          <w:p>
            <w:pPr>
              <w:keepNext/>
              <w:spacing w:before="30" w:after="30" w:line="240" w:lineRule="auto"/>
              <w:jc w:val="center"/>
            </w:pPr>
            <w:r>
              <w:rPr>
                <w:sz w:val="20"/>
                <w:szCs w:val="20"/>
              </w:rPr>
              <w:t xml:space="preserve">Bar chart</w:t>
            </w:r>
          </w:p>
        </w:tc>
        <w:tc>
          <w:tcPr>
            <w:tcW w:w="4600" w:type="dxa"/>
            <w:vAlign w:val="center"/>
          </w:tcPr>
          <w:p>
            <w:pPr>
              <w:keepNext/>
              <w:spacing w:before="30" w:after="30" w:line="240" w:lineRule="auto"/>
              <w:jc w:val="left"/>
            </w:pPr>
            <w:r>
              <w:rPr>
                <w:sz w:val="20"/>
                <w:szCs w:val="20"/>
              </w:rPr>
              <w:t xml:space="preserve">Produk adalah kategori terpisah; panjang batang mudah dibandingkan dan dapat diurutkan.</w:t>
            </w:r>
          </w:p>
        </w:tc>
      </w:tr>
      <w:tr>
        <w:trPr>
          <w:cantSplit/>
        </w:trPr>
        <w:tc>
          <w:tcPr>
            <w:tcW w:w="3000" w:type="dxa"/>
            <w:vAlign w:val="center"/>
          </w:tcPr>
          <w:p>
            <w:pPr>
              <w:spacing w:before="30" w:after="30" w:line="240" w:lineRule="auto"/>
              <w:jc w:val="left"/>
            </w:pPr>
            <w:r>
              <w:rPr>
                <w:sz w:val="20"/>
                <w:szCs w:val="20"/>
              </w:rPr>
              <w:t xml:space="preserve">Hubungan biaya promosi dan jumlah penjualan</w:t>
            </w:r>
          </w:p>
        </w:tc>
        <w:tc>
          <w:tcPr>
            <w:tcW w:w="1700" w:type="dxa"/>
            <w:vAlign w:val="center"/>
          </w:tcPr>
          <w:p>
            <w:pPr>
              <w:spacing w:before="30" w:after="30" w:line="240" w:lineRule="auto"/>
              <w:jc w:val="center"/>
            </w:pPr>
            <w:r>
              <w:rPr>
                <w:sz w:val="20"/>
                <w:szCs w:val="20"/>
              </w:rPr>
              <w:t xml:space="preserve">Scatter plot</w:t>
            </w:r>
          </w:p>
        </w:tc>
        <w:tc>
          <w:tcPr>
            <w:tcW w:w="4600" w:type="dxa"/>
            <w:vAlign w:val="center"/>
          </w:tcPr>
          <w:p>
            <w:pPr>
              <w:spacing w:before="30" w:after="30" w:line="240" w:lineRule="auto"/>
              <w:jc w:val="left"/>
            </w:pPr>
            <w:r>
              <w:rPr>
                <w:sz w:val="20"/>
                <w:szCs w:val="20"/>
              </w:rPr>
              <w:t xml:space="preserve">Keduanya numerik; setiap titik adalah satu pasangan nilai sehingga arah dan kekuatan hubungan terlihat.</w:t>
            </w:r>
          </w:p>
        </w:tc>
      </w:tr>
    </w:tbl>
    <w:p>
      <w:pPr>
        <w:spacing w:before="0" w:after="120" w:line="240" w:lineRule="auto"/>
      </w:pPr>
    </w:p>
    <w:p>
      <w:pPr>
        <w:keepNext/>
        <w:spacing w:before="320" w:after="160"/>
        <w:outlineLvl w:val="0"/>
      </w:pPr>
      <w:r>
        <w:rPr>
          <w:b/>
          <w:bCs/>
          <w:sz w:val="26"/>
          <w:szCs w:val="26"/>
        </w:rPr>
        <w:t xml:space="preserve">5. Soal 2: Bar Chart dengan Matplotlib</w:t>
      </w:r>
    </w:p>
    <w:p>
      <w:pPr>
        <w:spacing w:before="0" w:after="160" w:line="300" w:lineRule="auto"/>
        <w:ind w:firstLine="576"/>
        <w:jc w:val="both"/>
      </w:pPr>
      <w:r>
        <w:rPr/>
        <w:t xml:space="preserve">Nama produk dan jumlah terjual disimpan dalam dua variabel list Python, kemudian digabungkan menjadi DataFrame (Tabel 5). Bar chart dibuat dengan Matplotlib dan dilengkapi judul, label sumbu, label nilai di atas batang, serta garis rata-rata. Produk tertinggi diberi warna hijau dan produk terendah diberi warna merah agar langsung terlihat.</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5</w:t>
      </w:r>
      <w:r>
        <w:rPr>
          <w:i/>
          <w:sz w:val="20"/>
        </w:rPr>
        <w:fldChar w:fldCharType="end"/>
      </w:r>
      <w:r>
        <w:rPr>
          <w:i/>
          <w:iCs/>
          <w:sz w:val="20"/>
          <w:szCs w:val="20"/>
        </w:rPr>
        <w:t xml:space="preserve">. Data penjualan produk UMKM</w:t>
      </w:r>
    </w:p>
    <w:tbl>
      <w:tblPr>
        <w:tblW w:w="8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5000"/>
        <w:gridCol w:w="3000"/>
      </w:tblGrid>
      <w:tr>
        <w:trPr>
          <w:tblHeader/>
        </w:trPr>
        <w:tc>
          <w:tcPr>
            <w:tcW w:w="5000" w:type="dxa"/>
            <w:shd w:val="clear" w:color="auto" w:fill="D9E2F3"/>
            <w:vAlign w:val="center"/>
          </w:tcPr>
          <w:p>
            <w:pPr>
              <w:keepNext/>
              <w:spacing w:before="30" w:after="30" w:line="240" w:lineRule="auto"/>
              <w:jc w:val="center"/>
            </w:pPr>
            <w:r>
              <w:rPr>
                <w:b/>
                <w:bCs/>
                <w:sz w:val="20"/>
                <w:szCs w:val="20"/>
              </w:rPr>
              <w:t xml:space="preserve">Produk</w:t>
            </w:r>
          </w:p>
        </w:tc>
        <w:tc>
          <w:tcPr>
            <w:tcW w:w="3000" w:type="dxa"/>
            <w:shd w:val="clear" w:color="auto" w:fill="D9E2F3"/>
            <w:vAlign w:val="center"/>
          </w:tcPr>
          <w:p>
            <w:pPr>
              <w:keepNext/>
              <w:spacing w:before="30" w:after="30" w:line="240" w:lineRule="auto"/>
              <w:jc w:val="center"/>
            </w:pPr>
            <w:r>
              <w:rPr>
                <w:b/>
                <w:bCs/>
                <w:sz w:val="20"/>
                <w:szCs w:val="20"/>
              </w:rPr>
              <w:t xml:space="preserve">Jumlah Terjual (unit)</w:t>
            </w:r>
          </w:p>
        </w:tc>
      </w:tr>
      <w:tr>
        <w:trPr>
          <w:cantSplit/>
        </w:trPr>
        <w:tc>
          <w:tcPr>
            <w:tcW w:w="5000" w:type="dxa"/>
            <w:vAlign w:val="center"/>
          </w:tcPr>
          <w:p>
            <w:pPr>
              <w:keepNext/>
              <w:spacing w:before="30" w:after="30" w:line="240" w:lineRule="auto"/>
              <w:jc w:val="left"/>
            </w:pPr>
            <w:r>
              <w:rPr>
                <w:sz w:val="20"/>
                <w:szCs w:val="20"/>
              </w:rPr>
              <w:t xml:space="preserve">Keripik Pisang</w:t>
            </w:r>
          </w:p>
        </w:tc>
        <w:tc>
          <w:tcPr>
            <w:tcW w:w="3000" w:type="dxa"/>
            <w:vAlign w:val="center"/>
          </w:tcPr>
          <w:p>
            <w:pPr>
              <w:keepNext/>
              <w:spacing w:before="30" w:after="30" w:line="240" w:lineRule="auto"/>
              <w:jc w:val="center"/>
            </w:pPr>
            <w:r>
              <w:rPr>
                <w:sz w:val="20"/>
                <w:szCs w:val="20"/>
              </w:rPr>
              <w:t xml:space="preserve">120</w:t>
            </w:r>
          </w:p>
        </w:tc>
      </w:tr>
      <w:tr>
        <w:trPr>
          <w:cantSplit/>
        </w:trPr>
        <w:tc>
          <w:tcPr>
            <w:tcW w:w="5000" w:type="dxa"/>
            <w:vAlign w:val="center"/>
          </w:tcPr>
          <w:p>
            <w:pPr>
              <w:keepNext/>
              <w:spacing w:before="30" w:after="30" w:line="240" w:lineRule="auto"/>
              <w:jc w:val="left"/>
            </w:pPr>
            <w:r>
              <w:rPr>
                <w:sz w:val="20"/>
                <w:szCs w:val="20"/>
              </w:rPr>
              <w:t xml:space="preserve">Kerupuk Bawang</w:t>
            </w:r>
          </w:p>
        </w:tc>
        <w:tc>
          <w:tcPr>
            <w:tcW w:w="3000" w:type="dxa"/>
            <w:vAlign w:val="center"/>
          </w:tcPr>
          <w:p>
            <w:pPr>
              <w:keepNext/>
              <w:spacing w:before="30" w:after="30" w:line="240" w:lineRule="auto"/>
              <w:jc w:val="center"/>
            </w:pPr>
            <w:r>
              <w:rPr>
                <w:sz w:val="20"/>
                <w:szCs w:val="20"/>
              </w:rPr>
              <w:t xml:space="preserve">95</w:t>
            </w:r>
          </w:p>
        </w:tc>
      </w:tr>
      <w:tr>
        <w:trPr>
          <w:cantSplit/>
        </w:trPr>
        <w:tc>
          <w:tcPr>
            <w:tcW w:w="5000" w:type="dxa"/>
            <w:vAlign w:val="center"/>
          </w:tcPr>
          <w:p>
            <w:pPr>
              <w:keepNext/>
              <w:spacing w:before="30" w:after="30" w:line="240" w:lineRule="auto"/>
              <w:jc w:val="left"/>
            </w:pPr>
            <w:r>
              <w:rPr>
                <w:sz w:val="20"/>
                <w:szCs w:val="20"/>
              </w:rPr>
              <w:t xml:space="preserve">Kue Kering</w:t>
            </w:r>
          </w:p>
        </w:tc>
        <w:tc>
          <w:tcPr>
            <w:tcW w:w="3000" w:type="dxa"/>
            <w:vAlign w:val="center"/>
          </w:tcPr>
          <w:p>
            <w:pPr>
              <w:keepNext/>
              <w:spacing w:before="30" w:after="30" w:line="240" w:lineRule="auto"/>
              <w:jc w:val="center"/>
            </w:pPr>
            <w:r>
              <w:rPr>
                <w:sz w:val="20"/>
                <w:szCs w:val="20"/>
              </w:rPr>
              <w:t xml:space="preserve">150</w:t>
            </w:r>
          </w:p>
        </w:tc>
      </w:tr>
      <w:tr>
        <w:trPr>
          <w:cantSplit/>
        </w:trPr>
        <w:tc>
          <w:tcPr>
            <w:tcW w:w="5000" w:type="dxa"/>
            <w:vAlign w:val="center"/>
          </w:tcPr>
          <w:p>
            <w:pPr>
              <w:keepNext/>
              <w:spacing w:before="30" w:after="30" w:line="240" w:lineRule="auto"/>
              <w:jc w:val="left"/>
            </w:pPr>
            <w:r>
              <w:rPr>
                <w:sz w:val="20"/>
                <w:szCs w:val="20"/>
              </w:rPr>
              <w:t xml:space="preserve">Jamu Instan</w:t>
            </w:r>
          </w:p>
        </w:tc>
        <w:tc>
          <w:tcPr>
            <w:tcW w:w="3000" w:type="dxa"/>
            <w:vAlign w:val="center"/>
          </w:tcPr>
          <w:p>
            <w:pPr>
              <w:keepNext/>
              <w:spacing w:before="30" w:after="30" w:line="240" w:lineRule="auto"/>
              <w:jc w:val="center"/>
            </w:pPr>
            <w:r>
              <w:rPr>
                <w:sz w:val="20"/>
                <w:szCs w:val="20"/>
              </w:rPr>
              <w:t xml:space="preserve">80</w:t>
            </w:r>
          </w:p>
        </w:tc>
      </w:tr>
      <w:tr>
        <w:trPr>
          <w:cantSplit/>
        </w:trPr>
        <w:tc>
          <w:tcPr>
            <w:tcW w:w="5000" w:type="dxa"/>
            <w:vAlign w:val="center"/>
          </w:tcPr>
          <w:p>
            <w:pPr>
              <w:spacing w:before="30" w:after="30" w:line="240" w:lineRule="auto"/>
              <w:jc w:val="left"/>
            </w:pPr>
            <w:r>
              <w:rPr>
                <w:sz w:val="20"/>
                <w:szCs w:val="20"/>
              </w:rPr>
              <w:t xml:space="preserve">Sambal Kemasan</w:t>
            </w:r>
          </w:p>
        </w:tc>
        <w:tc>
          <w:tcPr>
            <w:tcW w:w="3000" w:type="dxa"/>
            <w:vAlign w:val="center"/>
          </w:tcPr>
          <w:p>
            <w:pPr>
              <w:spacing w:before="30" w:after="30" w:line="240" w:lineRule="auto"/>
              <w:jc w:val="center"/>
            </w:pPr>
            <w:r>
              <w:rPr>
                <w:sz w:val="20"/>
                <w:szCs w:val="20"/>
              </w:rPr>
              <w:t xml:space="preserve">110</w:t>
            </w:r>
          </w:p>
        </w:tc>
      </w:tr>
    </w:tbl>
    <w:p>
      <w:pPr>
        <w:spacing w:before="0" w:after="120" w:line="240" w:lineRule="auto"/>
      </w:pPr>
    </w:p>
    <w:p>
      <w:pPr>
        <w:keepNext/>
        <w:spacing w:before="120" w:after="0"/>
        <w:jc w:val="center"/>
      </w:pPr>
      <w:r>
        <w:drawing>
          <wp:inline distT="0" distB="0" distL="0" distR="0">
            <wp:extent cx="5220000" cy="2831591"/>
            <wp:docPr id="201" name="Gambar 1"/>
            <wp:cNvGraphicFramePr>
              <a:graphicFrameLocks noChangeAspect="1"/>
            </wp:cNvGraphicFramePr>
            <a:graphic>
              <a:graphicData uri="http://schemas.openxmlformats.org/drawingml/2006/picture">
                <pic:pic>
                  <pic:nvPicPr>
                    <pic:cNvPr id="201" name="img1.png"/>
                    <pic:cNvPicPr/>
                  </pic:nvPicPr>
                  <pic:blipFill>
                    <a:blip r:embed="rIdImg1"/>
                    <a:stretch>
                      <a:fillRect/>
                    </a:stretch>
                  </pic:blipFill>
                  <pic:spPr>
                    <a:xfrm>
                      <a:off x="0" y="0"/>
                      <a:ext cx="5220000" cy="2831591"/>
                    </a:xfrm>
                    <a:prstGeom prst="rect">
                      <a:avLst/>
                    </a:prstGeom>
                  </pic:spPr>
                </pic:pic>
              </a:graphicData>
            </a:graphic>
          </wp:inline>
        </w:drawing>
      </w:r>
    </w:p>
    <w:p>
      <w:pPr>
        <w:spacing w:before="60" w:after="220"/>
        <w:jc w:val="center"/>
      </w:pPr>
      <w:r>
        <w:rPr>
          <w:i/>
          <w:iCs/>
          <w:sz w:val="20"/>
          <w:szCs w:val="20"/>
        </w:rPr>
        <w:t xml:space="preserve">Gambar </w:t>
      </w:r>
      <w:r>
        <w:rPr>
          <w:i/>
          <w:sz w:val="20"/>
        </w:rPr>
        <w:fldChar w:fldCharType="begin"/>
      </w:r>
      <w:r>
        <w:rPr>
          <w:i/>
          <w:sz w:val="20"/>
        </w:rPr>
        <w:instrText xml:space="preserve"> SEQ Gambar \* ARABIC </w:instrText>
      </w:r>
      <w:r>
        <w:rPr>
          <w:i/>
          <w:sz w:val="20"/>
        </w:rPr>
        <w:fldChar w:fldCharType="separate"/>
      </w:r>
      <w:r>
        <w:rPr>
          <w:i/>
          <w:iCs/>
          <w:sz w:val="20"/>
          <w:szCs w:val="20"/>
        </w:rPr>
        <w:t>1</w:t>
      </w:r>
      <w:r>
        <w:rPr>
          <w:i/>
          <w:sz w:val="20"/>
        </w:rPr>
        <w:fldChar w:fldCharType="end"/>
      </w:r>
      <w:r>
        <w:rPr>
          <w:i/>
          <w:iCs/>
          <w:sz w:val="20"/>
          <w:szCs w:val="20"/>
        </w:rPr>
        <w:t xml:space="preserve">. Penjualan produk UMKM per jenis produk</w:t>
      </w:r>
    </w:p>
    <w:p>
      <w:pPr>
        <w:spacing w:before="0" w:after="160" w:line="300" w:lineRule="auto"/>
        <w:ind w:firstLine="576"/>
        <w:jc w:val="both"/>
      </w:pPr>
      <w:r>
        <w:rPr>
          <w:b/>
          <w:bCs/>
        </w:rPr>
        <w:t xml:space="preserve">Interpretasi.</w:t>
      </w:r>
      <w:r>
        <w:rPr/>
        <w:t xml:space="preserve"> Kue Kering merupakan produk paling laku dengan 150 unit atau 27,0% dari total 555 unit, sedangkan Jamu Instan paling sedikit terjual dengan 80 unit (14,4%). Selisih keduanya 70 unit. Kue Kering, Keripik Pisang, dan Sambal Kemasan berada di atas rata-rata 111 unit per produk, sementara Kerupuk Bawang dan Jamu Instan berada di bawahnya sehingga layak menjadi prioritas evaluasi dari sisi promosi, harga, maupun kemasan.</w:t>
      </w:r>
    </w:p>
    <w:p>
      <w:pPr>
        <w:keepNext/>
        <w:spacing w:before="320" w:after="160"/>
        <w:outlineLvl w:val="0"/>
      </w:pPr>
      <w:r>
        <w:rPr>
          <w:b/>
          <w:bCs/>
          <w:sz w:val="26"/>
          <w:szCs w:val="26"/>
        </w:rPr>
        <w:t xml:space="preserve">6. Soal 3: Visualisasi Tren Penjualan</w:t>
      </w:r>
    </w:p>
    <w:p>
      <w:pPr>
        <w:spacing w:before="0" w:after="160" w:line="300" w:lineRule="auto"/>
        <w:ind w:firstLine="576"/>
        <w:jc w:val="both"/>
      </w:pPr>
      <w:r>
        <w:rPr/>
        <w:t xml:space="preserve">Data penjualan enam bulan disusun dalam DataFrame beserta perubahan dari bulan sebelumnya (Tabel 6), lalu divisualisasikan dengan line chart yang memiliki marker, grid, dan label nilai. Ruas garis yang menurun diberi warna merah.</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6</w:t>
      </w:r>
      <w:r>
        <w:rPr>
          <w:i/>
          <w:sz w:val="20"/>
        </w:rPr>
        <w:fldChar w:fldCharType="end"/>
      </w:r>
      <w:r>
        <w:rPr>
          <w:i/>
          <w:iCs/>
          <w:sz w:val="20"/>
          <w:szCs w:val="20"/>
        </w:rPr>
        <w:t xml:space="preserve">. Penjualan toko online dan perubahan bulanan</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2400"/>
        <w:gridCol w:w="2600"/>
        <w:gridCol w:w="2400"/>
        <w:gridCol w:w="1900"/>
      </w:tblGrid>
      <w:tr>
        <w:trPr>
          <w:tblHeader/>
        </w:trPr>
        <w:tc>
          <w:tcPr>
            <w:tcW w:w="2400" w:type="dxa"/>
            <w:shd w:val="clear" w:color="auto" w:fill="D9E2F3"/>
            <w:vAlign w:val="center"/>
          </w:tcPr>
          <w:p>
            <w:pPr>
              <w:keepNext/>
              <w:spacing w:before="30" w:after="30" w:line="240" w:lineRule="auto"/>
              <w:jc w:val="center"/>
            </w:pPr>
            <w:r>
              <w:rPr>
                <w:b/>
                <w:bCs/>
                <w:sz w:val="20"/>
                <w:szCs w:val="20"/>
              </w:rPr>
              <w:t xml:space="preserve">Bulan</w:t>
            </w:r>
          </w:p>
        </w:tc>
        <w:tc>
          <w:tcPr>
            <w:tcW w:w="2600" w:type="dxa"/>
            <w:shd w:val="clear" w:color="auto" w:fill="D9E2F3"/>
            <w:vAlign w:val="center"/>
          </w:tcPr>
          <w:p>
            <w:pPr>
              <w:keepNext/>
              <w:spacing w:before="30" w:after="30" w:line="240" w:lineRule="auto"/>
              <w:jc w:val="center"/>
            </w:pPr>
            <w:r>
              <w:rPr>
                <w:b/>
                <w:bCs/>
                <w:sz w:val="20"/>
                <w:szCs w:val="20"/>
              </w:rPr>
              <w:t xml:space="preserve">Penjualan (juta Rp)</w:t>
            </w:r>
          </w:p>
        </w:tc>
        <w:tc>
          <w:tcPr>
            <w:tcW w:w="2400" w:type="dxa"/>
            <w:shd w:val="clear" w:color="auto" w:fill="D9E2F3"/>
            <w:vAlign w:val="center"/>
          </w:tcPr>
          <w:p>
            <w:pPr>
              <w:keepNext/>
              <w:spacing w:before="30" w:after="30" w:line="240" w:lineRule="auto"/>
              <w:jc w:val="center"/>
            </w:pPr>
            <w:r>
              <w:rPr>
                <w:b/>
                <w:bCs/>
                <w:sz w:val="20"/>
                <w:szCs w:val="20"/>
              </w:rPr>
              <w:t xml:space="preserve">Perubahan (juta Rp)</w:t>
            </w:r>
          </w:p>
        </w:tc>
        <w:tc>
          <w:tcPr>
            <w:tcW w:w="1900" w:type="dxa"/>
            <w:shd w:val="clear" w:color="auto" w:fill="D9E2F3"/>
            <w:vAlign w:val="center"/>
          </w:tcPr>
          <w:p>
            <w:pPr>
              <w:keepNext/>
              <w:spacing w:before="30" w:after="30" w:line="240" w:lineRule="auto"/>
              <w:jc w:val="center"/>
            </w:pPr>
            <w:r>
              <w:rPr>
                <w:b/>
                <w:bCs/>
                <w:sz w:val="20"/>
                <w:szCs w:val="20"/>
              </w:rPr>
              <w:t xml:space="preserve">Perubahan (%)</w:t>
            </w:r>
          </w:p>
        </w:tc>
      </w:tr>
      <w:tr>
        <w:trPr>
          <w:cantSplit/>
        </w:trPr>
        <w:tc>
          <w:tcPr>
            <w:tcW w:w="2400" w:type="dxa"/>
            <w:vAlign w:val="center"/>
          </w:tcPr>
          <w:p>
            <w:pPr>
              <w:keepNext/>
              <w:spacing w:before="30" w:after="30" w:line="240" w:lineRule="auto"/>
              <w:jc w:val="left"/>
            </w:pPr>
            <w:r>
              <w:rPr>
                <w:sz w:val="20"/>
                <w:szCs w:val="20"/>
              </w:rPr>
              <w:t xml:space="preserve">Januari</w:t>
            </w:r>
          </w:p>
        </w:tc>
        <w:tc>
          <w:tcPr>
            <w:tcW w:w="2600" w:type="dxa"/>
            <w:vAlign w:val="center"/>
          </w:tcPr>
          <w:p>
            <w:pPr>
              <w:keepNext/>
              <w:spacing w:before="30" w:after="30" w:line="240" w:lineRule="auto"/>
              <w:jc w:val="center"/>
            </w:pPr>
            <w:r>
              <w:rPr>
                <w:sz w:val="20"/>
                <w:szCs w:val="20"/>
              </w:rPr>
              <w:t xml:space="preserve">10</w:t>
            </w:r>
          </w:p>
        </w:tc>
        <w:tc>
          <w:tcPr>
            <w:tcW w:w="2400" w:type="dxa"/>
            <w:vAlign w:val="center"/>
          </w:tcPr>
          <w:p>
            <w:pPr>
              <w:keepNext/>
              <w:spacing w:before="30" w:after="30" w:line="240" w:lineRule="auto"/>
              <w:jc w:val="center"/>
            </w:pPr>
            <w:r>
              <w:rPr>
                <w:sz w:val="20"/>
                <w:szCs w:val="20"/>
              </w:rPr>
              <w:t xml:space="preserve">–</w:t>
            </w:r>
          </w:p>
        </w:tc>
        <w:tc>
          <w:tcPr>
            <w:tcW w:w="1900" w:type="dxa"/>
            <w:vAlign w:val="center"/>
          </w:tcPr>
          <w:p>
            <w:pPr>
              <w:keepNext/>
              <w:spacing w:before="30" w:after="30" w:line="240" w:lineRule="auto"/>
              <w:jc w:val="center"/>
            </w:pPr>
            <w:r>
              <w:rPr>
                <w:sz w:val="20"/>
                <w:szCs w:val="20"/>
              </w:rPr>
              <w:t xml:space="preserve">–</w:t>
            </w:r>
          </w:p>
        </w:tc>
      </w:tr>
      <w:tr>
        <w:trPr>
          <w:cantSplit/>
        </w:trPr>
        <w:tc>
          <w:tcPr>
            <w:tcW w:w="2400" w:type="dxa"/>
            <w:vAlign w:val="center"/>
          </w:tcPr>
          <w:p>
            <w:pPr>
              <w:keepNext/>
              <w:spacing w:before="30" w:after="30" w:line="240" w:lineRule="auto"/>
              <w:jc w:val="left"/>
            </w:pPr>
            <w:r>
              <w:rPr>
                <w:sz w:val="20"/>
                <w:szCs w:val="20"/>
              </w:rPr>
              <w:t xml:space="preserve">Februari</w:t>
            </w:r>
          </w:p>
        </w:tc>
        <w:tc>
          <w:tcPr>
            <w:tcW w:w="2600" w:type="dxa"/>
            <w:vAlign w:val="center"/>
          </w:tcPr>
          <w:p>
            <w:pPr>
              <w:keepNext/>
              <w:spacing w:before="30" w:after="30" w:line="240" w:lineRule="auto"/>
              <w:jc w:val="center"/>
            </w:pPr>
            <w:r>
              <w:rPr>
                <w:sz w:val="20"/>
                <w:szCs w:val="20"/>
              </w:rPr>
              <w:t xml:space="preserve">12</w:t>
            </w:r>
          </w:p>
        </w:tc>
        <w:tc>
          <w:tcPr>
            <w:tcW w:w="2400" w:type="dxa"/>
            <w:vAlign w:val="center"/>
          </w:tcPr>
          <w:p>
            <w:pPr>
              <w:keepNext/>
              <w:spacing w:before="30" w:after="30" w:line="240" w:lineRule="auto"/>
              <w:jc w:val="center"/>
            </w:pPr>
            <w:r>
              <w:rPr>
                <w:sz w:val="20"/>
                <w:szCs w:val="20"/>
              </w:rPr>
              <w:t xml:space="preserve">+2</w:t>
            </w:r>
          </w:p>
        </w:tc>
        <w:tc>
          <w:tcPr>
            <w:tcW w:w="1900" w:type="dxa"/>
            <w:vAlign w:val="center"/>
          </w:tcPr>
          <w:p>
            <w:pPr>
              <w:keepNext/>
              <w:spacing w:before="30" w:after="30" w:line="240" w:lineRule="auto"/>
              <w:jc w:val="center"/>
            </w:pPr>
            <w:r>
              <w:rPr>
                <w:sz w:val="20"/>
                <w:szCs w:val="20"/>
              </w:rPr>
              <w:t xml:space="preserve">+20,0</w:t>
            </w:r>
          </w:p>
        </w:tc>
      </w:tr>
      <w:tr>
        <w:trPr>
          <w:cantSplit/>
        </w:trPr>
        <w:tc>
          <w:tcPr>
            <w:tcW w:w="2400" w:type="dxa"/>
            <w:vAlign w:val="center"/>
          </w:tcPr>
          <w:p>
            <w:pPr>
              <w:keepNext/>
              <w:spacing w:before="30" w:after="30" w:line="240" w:lineRule="auto"/>
              <w:jc w:val="left"/>
            </w:pPr>
            <w:r>
              <w:rPr>
                <w:sz w:val="20"/>
                <w:szCs w:val="20"/>
              </w:rPr>
              <w:t xml:space="preserve">Maret</w:t>
            </w:r>
          </w:p>
        </w:tc>
        <w:tc>
          <w:tcPr>
            <w:tcW w:w="2600" w:type="dxa"/>
            <w:vAlign w:val="center"/>
          </w:tcPr>
          <w:p>
            <w:pPr>
              <w:keepNext/>
              <w:spacing w:before="30" w:after="30" w:line="240" w:lineRule="auto"/>
              <w:jc w:val="center"/>
            </w:pPr>
            <w:r>
              <w:rPr>
                <w:sz w:val="20"/>
                <w:szCs w:val="20"/>
              </w:rPr>
              <w:t xml:space="preserve">15</w:t>
            </w:r>
          </w:p>
        </w:tc>
        <w:tc>
          <w:tcPr>
            <w:tcW w:w="2400" w:type="dxa"/>
            <w:vAlign w:val="center"/>
          </w:tcPr>
          <w:p>
            <w:pPr>
              <w:keepNext/>
              <w:spacing w:before="30" w:after="30" w:line="240" w:lineRule="auto"/>
              <w:jc w:val="center"/>
            </w:pPr>
            <w:r>
              <w:rPr>
                <w:sz w:val="20"/>
                <w:szCs w:val="20"/>
              </w:rPr>
              <w:t xml:space="preserve">+3</w:t>
            </w:r>
          </w:p>
        </w:tc>
        <w:tc>
          <w:tcPr>
            <w:tcW w:w="1900" w:type="dxa"/>
            <w:vAlign w:val="center"/>
          </w:tcPr>
          <w:p>
            <w:pPr>
              <w:keepNext/>
              <w:spacing w:before="30" w:after="30" w:line="240" w:lineRule="auto"/>
              <w:jc w:val="center"/>
            </w:pPr>
            <w:r>
              <w:rPr>
                <w:sz w:val="20"/>
                <w:szCs w:val="20"/>
              </w:rPr>
              <w:t xml:space="preserve">+25,0</w:t>
            </w:r>
          </w:p>
        </w:tc>
      </w:tr>
      <w:tr>
        <w:trPr>
          <w:cantSplit/>
        </w:trPr>
        <w:tc>
          <w:tcPr>
            <w:tcW w:w="2400" w:type="dxa"/>
            <w:vAlign w:val="center"/>
          </w:tcPr>
          <w:p>
            <w:pPr>
              <w:keepNext/>
              <w:spacing w:before="30" w:after="30" w:line="240" w:lineRule="auto"/>
              <w:jc w:val="left"/>
            </w:pPr>
            <w:r>
              <w:rPr>
                <w:sz w:val="20"/>
                <w:szCs w:val="20"/>
              </w:rPr>
              <w:t xml:space="preserve">April</w:t>
            </w:r>
          </w:p>
        </w:tc>
        <w:tc>
          <w:tcPr>
            <w:tcW w:w="2600" w:type="dxa"/>
            <w:vAlign w:val="center"/>
          </w:tcPr>
          <w:p>
            <w:pPr>
              <w:keepNext/>
              <w:spacing w:before="30" w:after="30" w:line="240" w:lineRule="auto"/>
              <w:jc w:val="center"/>
            </w:pPr>
            <w:r>
              <w:rPr>
                <w:sz w:val="20"/>
                <w:szCs w:val="20"/>
              </w:rPr>
              <w:t xml:space="preserve">13</w:t>
            </w:r>
          </w:p>
        </w:tc>
        <w:tc>
          <w:tcPr>
            <w:tcW w:w="2400" w:type="dxa"/>
            <w:vAlign w:val="center"/>
          </w:tcPr>
          <w:p>
            <w:pPr>
              <w:keepNext/>
              <w:spacing w:before="30" w:after="30" w:line="240" w:lineRule="auto"/>
              <w:jc w:val="center"/>
            </w:pPr>
            <w:r>
              <w:rPr>
                <w:sz w:val="20"/>
                <w:szCs w:val="20"/>
              </w:rPr>
              <w:t xml:space="preserve">−2</w:t>
            </w:r>
          </w:p>
        </w:tc>
        <w:tc>
          <w:tcPr>
            <w:tcW w:w="1900" w:type="dxa"/>
            <w:vAlign w:val="center"/>
          </w:tcPr>
          <w:p>
            <w:pPr>
              <w:keepNext/>
              <w:spacing w:before="30" w:after="30" w:line="240" w:lineRule="auto"/>
              <w:jc w:val="center"/>
            </w:pPr>
            <w:r>
              <w:rPr>
                <w:sz w:val="20"/>
                <w:szCs w:val="20"/>
              </w:rPr>
              <w:t xml:space="preserve">−13,3</w:t>
            </w:r>
          </w:p>
        </w:tc>
      </w:tr>
      <w:tr>
        <w:trPr>
          <w:cantSplit/>
        </w:trPr>
        <w:tc>
          <w:tcPr>
            <w:tcW w:w="2400" w:type="dxa"/>
            <w:vAlign w:val="center"/>
          </w:tcPr>
          <w:p>
            <w:pPr>
              <w:keepNext/>
              <w:spacing w:before="30" w:after="30" w:line="240" w:lineRule="auto"/>
              <w:jc w:val="left"/>
            </w:pPr>
            <w:r>
              <w:rPr>
                <w:sz w:val="20"/>
                <w:szCs w:val="20"/>
              </w:rPr>
              <w:t xml:space="preserve">Mei</w:t>
            </w:r>
          </w:p>
        </w:tc>
        <w:tc>
          <w:tcPr>
            <w:tcW w:w="2600" w:type="dxa"/>
            <w:vAlign w:val="center"/>
          </w:tcPr>
          <w:p>
            <w:pPr>
              <w:keepNext/>
              <w:spacing w:before="30" w:after="30" w:line="240" w:lineRule="auto"/>
              <w:jc w:val="center"/>
            </w:pPr>
            <w:r>
              <w:rPr>
                <w:sz w:val="20"/>
                <w:szCs w:val="20"/>
              </w:rPr>
              <w:t xml:space="preserve">18</w:t>
            </w:r>
          </w:p>
        </w:tc>
        <w:tc>
          <w:tcPr>
            <w:tcW w:w="2400" w:type="dxa"/>
            <w:vAlign w:val="center"/>
          </w:tcPr>
          <w:p>
            <w:pPr>
              <w:keepNext/>
              <w:spacing w:before="30" w:after="30" w:line="240" w:lineRule="auto"/>
              <w:jc w:val="center"/>
            </w:pPr>
            <w:r>
              <w:rPr>
                <w:sz w:val="20"/>
                <w:szCs w:val="20"/>
              </w:rPr>
              <w:t xml:space="preserve">+5</w:t>
            </w:r>
          </w:p>
        </w:tc>
        <w:tc>
          <w:tcPr>
            <w:tcW w:w="1900" w:type="dxa"/>
            <w:vAlign w:val="center"/>
          </w:tcPr>
          <w:p>
            <w:pPr>
              <w:keepNext/>
              <w:spacing w:before="30" w:after="30" w:line="240" w:lineRule="auto"/>
              <w:jc w:val="center"/>
            </w:pPr>
            <w:r>
              <w:rPr>
                <w:sz w:val="20"/>
                <w:szCs w:val="20"/>
              </w:rPr>
              <w:t xml:space="preserve">+38,5</w:t>
            </w:r>
          </w:p>
        </w:tc>
      </w:tr>
      <w:tr>
        <w:trPr>
          <w:cantSplit/>
        </w:trPr>
        <w:tc>
          <w:tcPr>
            <w:tcW w:w="2400" w:type="dxa"/>
            <w:vAlign w:val="center"/>
          </w:tcPr>
          <w:p>
            <w:pPr>
              <w:spacing w:before="30" w:after="30" w:line="240" w:lineRule="auto"/>
              <w:jc w:val="left"/>
            </w:pPr>
            <w:r>
              <w:rPr>
                <w:sz w:val="20"/>
                <w:szCs w:val="20"/>
              </w:rPr>
              <w:t xml:space="preserve">Juni</w:t>
            </w:r>
          </w:p>
        </w:tc>
        <w:tc>
          <w:tcPr>
            <w:tcW w:w="2600" w:type="dxa"/>
            <w:vAlign w:val="center"/>
          </w:tcPr>
          <w:p>
            <w:pPr>
              <w:spacing w:before="30" w:after="30" w:line="240" w:lineRule="auto"/>
              <w:jc w:val="center"/>
            </w:pPr>
            <w:r>
              <w:rPr>
                <w:sz w:val="20"/>
                <w:szCs w:val="20"/>
              </w:rPr>
              <w:t xml:space="preserve">22</w:t>
            </w:r>
          </w:p>
        </w:tc>
        <w:tc>
          <w:tcPr>
            <w:tcW w:w="2400" w:type="dxa"/>
            <w:vAlign w:val="center"/>
          </w:tcPr>
          <w:p>
            <w:pPr>
              <w:spacing w:before="30" w:after="30" w:line="240" w:lineRule="auto"/>
              <w:jc w:val="center"/>
            </w:pPr>
            <w:r>
              <w:rPr>
                <w:sz w:val="20"/>
                <w:szCs w:val="20"/>
              </w:rPr>
              <w:t xml:space="preserve">+4</w:t>
            </w:r>
          </w:p>
        </w:tc>
        <w:tc>
          <w:tcPr>
            <w:tcW w:w="1900" w:type="dxa"/>
            <w:vAlign w:val="center"/>
          </w:tcPr>
          <w:p>
            <w:pPr>
              <w:spacing w:before="30" w:after="30" w:line="240" w:lineRule="auto"/>
              <w:jc w:val="center"/>
            </w:pPr>
            <w:r>
              <w:rPr>
                <w:sz w:val="20"/>
                <w:szCs w:val="20"/>
              </w:rPr>
              <w:t xml:space="preserve">+22,2</w:t>
            </w:r>
          </w:p>
        </w:tc>
      </w:tr>
    </w:tbl>
    <w:p>
      <w:pPr>
        <w:spacing w:before="0" w:after="120" w:line="240" w:lineRule="auto"/>
      </w:pPr>
    </w:p>
    <w:p>
      <w:pPr>
        <w:keepNext/>
        <w:spacing w:before="120" w:after="0"/>
        <w:jc w:val="center"/>
      </w:pPr>
      <w:r>
        <w:drawing>
          <wp:inline distT="0" distB="0" distL="0" distR="0">
            <wp:extent cx="5220000" cy="2831591"/>
            <wp:docPr id="202" name="Gambar 2"/>
            <wp:cNvGraphicFramePr>
              <a:graphicFrameLocks noChangeAspect="1"/>
            </wp:cNvGraphicFramePr>
            <a:graphic>
              <a:graphicData uri="http://schemas.openxmlformats.org/drawingml/2006/picture">
                <pic:pic>
                  <pic:nvPicPr>
                    <pic:cNvPr id="202" name="img2.png"/>
                    <pic:cNvPicPr/>
                  </pic:nvPicPr>
                  <pic:blipFill>
                    <a:blip r:embed="rIdImg2"/>
                    <a:stretch>
                      <a:fillRect/>
                    </a:stretch>
                  </pic:blipFill>
                  <pic:spPr>
                    <a:xfrm>
                      <a:off x="0" y="0"/>
                      <a:ext cx="5220000" cy="2831591"/>
                    </a:xfrm>
                    <a:prstGeom prst="rect">
                      <a:avLst/>
                    </a:prstGeom>
                  </pic:spPr>
                </pic:pic>
              </a:graphicData>
            </a:graphic>
          </wp:inline>
        </w:drawing>
      </w:r>
    </w:p>
    <w:p>
      <w:pPr>
        <w:spacing w:before="60" w:after="220"/>
        <w:jc w:val="center"/>
      </w:pPr>
      <w:r>
        <w:rPr>
          <w:i/>
          <w:iCs/>
          <w:sz w:val="20"/>
          <w:szCs w:val="20"/>
        </w:rPr>
        <w:t xml:space="preserve">Gambar </w:t>
      </w:r>
      <w:r>
        <w:rPr>
          <w:i/>
          <w:sz w:val="20"/>
        </w:rPr>
        <w:fldChar w:fldCharType="begin"/>
      </w:r>
      <w:r>
        <w:rPr>
          <w:i/>
          <w:sz w:val="20"/>
        </w:rPr>
        <w:instrText xml:space="preserve"> SEQ Gambar \* ARABIC </w:instrText>
      </w:r>
      <w:r>
        <w:rPr>
          <w:i/>
          <w:sz w:val="20"/>
        </w:rPr>
        <w:fldChar w:fldCharType="separate"/>
      </w:r>
      <w:r>
        <w:rPr>
          <w:i/>
          <w:iCs/>
          <w:sz w:val="20"/>
          <w:szCs w:val="20"/>
        </w:rPr>
        <w:t>2</w:t>
      </w:r>
      <w:r>
        <w:rPr>
          <w:i/>
          <w:sz w:val="20"/>
        </w:rPr>
        <w:fldChar w:fldCharType="end"/>
      </w:r>
      <w:r>
        <w:rPr>
          <w:i/>
          <w:iCs/>
          <w:sz w:val="20"/>
          <w:szCs w:val="20"/>
        </w:rPr>
        <w:t xml:space="preserve">. Tren penjualan toko online Januari–Juni</w:t>
      </w:r>
    </w:p>
    <w:p>
      <w:pPr>
        <w:spacing w:before="0" w:after="160" w:line="300" w:lineRule="auto"/>
        <w:ind w:firstLine="576"/>
        <w:jc w:val="both"/>
      </w:pPr>
      <w:r>
        <w:rPr>
          <w:b/>
          <w:bCs/>
        </w:rPr>
        <w:t xml:space="preserve">Penurunan penjualan.</w:t>
      </w:r>
      <w:r>
        <w:rPr/>
        <w:t xml:space="preserve"> Penurunan hanya terjadi satu kali, yaitu pada </w:t>
      </w:r>
      <w:r>
        <w:rPr>
          <w:b/>
          <w:bCs/>
        </w:rPr>
        <w:t xml:space="preserve">April</w:t>
      </w:r>
      <w:r>
        <w:rPr/>
        <w:t xml:space="preserve">, ketika penjualan turun dari 15 juta menjadi 13 juta rupiah (−2 juta atau −13,3%). Setelah itu penjualan kembali naik dua bulan berturut-turut hingga mencapai puncak 22 juta rupiah pada Juni.</w:t>
      </w:r>
    </w:p>
    <w:p>
      <w:pPr>
        <w:spacing w:before="0" w:after="160" w:line="300" w:lineRule="auto"/>
        <w:ind w:firstLine="576"/>
        <w:jc w:val="both"/>
      </w:pPr>
      <w:r>
        <w:rPr>
          <w:b/>
          <w:bCs/>
        </w:rPr>
        <w:t xml:space="preserve">Persentase kenaikan Januari ke Juni</w:t>
      </w:r>
      <w:r>
        <w:rPr/>
        <w:t xml:space="preserve"> dihitung dengan rumus pada soal:</w:t>
      </w:r>
    </w:p>
    <w:p>
      <w:pPr>
        <w:spacing w:before="60" w:after="160"/>
        <w:jc w:val="center"/>
      </w:pPr>
      <w:r>
        <w:rPr/>
        <w:t xml:space="preserve">Persentase kenaikan = ((22 − 10) / 10) × 100% = </w:t>
      </w:r>
      <w:r>
        <w:rPr>
          <w:b/>
          <w:bCs/>
        </w:rPr>
        <w:t xml:space="preserve">120%</w:t>
      </w:r>
    </w:p>
    <w:p>
      <w:pPr>
        <w:spacing w:before="0" w:after="160" w:line="300" w:lineRule="auto"/>
        <w:ind w:firstLine="576"/>
        <w:jc w:val="both"/>
      </w:pPr>
      <w:r>
        <w:rPr>
          <w:b/>
          <w:bCs/>
        </w:rPr>
        <w:t xml:space="preserve">Rekomendasi bagi pengelola toko:</w:t>
      </w:r>
    </w:p>
    <w:p>
      <w:pPr>
        <w:spacing w:before="0" w:after="60" w:line="300" w:lineRule="auto"/>
        <w:ind w:left="576" w:hanging="360"/>
        <w:jc w:val="both"/>
      </w:pPr>
      <w:r>
        <w:rPr/>
        <w:t xml:space="preserve">1.	</w:t>
      </w:r>
      <w:r>
        <w:rPr>
          <w:b/>
          <w:bCs/>
        </w:rPr>
        <w:t xml:space="preserve">Identifikasi pemicu lonjakan Mei–Juni.</w:t>
      </w:r>
      <w:r>
        <w:rPr/>
        <w:t xml:space="preserve"> Penjualan naik dari 13 juta menjadi 22 juta rupiah dalam dua bulan. Pemicunya, misalnya promo, produk baru, atau momen musiman, perlu dicatat agar dapat diulang pada periode berikutnya.</w:t>
      </w:r>
    </w:p>
    <w:p>
      <w:pPr>
        <w:spacing w:before="0" w:after="140" w:line="300" w:lineRule="auto"/>
        <w:ind w:left="576" w:hanging="360"/>
        <w:jc w:val="both"/>
      </w:pPr>
      <w:r>
        <w:rPr/>
        <w:t xml:space="preserve">2.	</w:t>
      </w:r>
      <w:r>
        <w:rPr>
          <w:b/>
          <w:bCs/>
        </w:rPr>
        <w:t xml:space="preserve">Antisipasi bulan rawan seperti April.</w:t>
      </w:r>
      <w:r>
        <w:rPr/>
        <w:t xml:space="preserve"> Pantau penjualan mingguan dan siapkan promo cadangan sebelum memasuki bulan yang berpotensi turun, sehingga penurunan dapat diredam lebih awal.</w:t>
      </w:r>
    </w:p>
    <w:p>
      <w:pPr>
        <w:keepNext/>
        <w:pageBreakBefore/>
        <w:spacing w:before="320" w:after="160"/>
        <w:outlineLvl w:val="0"/>
      </w:pPr>
      <w:r>
        <w:rPr>
          <w:b/>
          <w:bCs/>
          <w:sz w:val="26"/>
          <w:szCs w:val="26"/>
        </w:rPr>
        <w:t xml:space="preserve">7. Soal 4: Pengolahan Data dengan Pandas dan Seaborn</w:t>
      </w:r>
    </w:p>
    <w:p>
      <w:pPr>
        <w:keepNext/>
        <w:spacing w:before="200" w:after="120"/>
        <w:outlineLvl w:val="1"/>
      </w:pPr>
      <w:r>
        <w:rPr>
          <w:b/>
          <w:bCs/>
        </w:rPr>
        <w:t xml:space="preserve">7.1 DataFrame dan Struktur Dataset</w:t>
      </w:r>
    </w:p>
    <w:p>
      <w:pPr>
        <w:spacing w:before="0" w:after="160" w:line="300" w:lineRule="auto"/>
        <w:ind w:firstLine="576"/>
        <w:jc w:val="both"/>
      </w:pPr>
      <w:r>
        <w:rPr/>
        <w:t xml:space="preserve">Data enam mahasiswa dibentuk menjadi DataFrame Pandas (Tabel 7). Fungsi </w:t>
      </w:r>
      <w:r>
        <w:rPr>
          <w:rFonts w:ascii="Courier New" w:hAnsi="Courier New" w:cs="Courier New"/>
          <w:sz w:val="22"/>
          <w:szCs w:val="22"/>
        </w:rPr>
        <w:t xml:space="preserve">head()</w:t>
      </w:r>
      <w:r>
        <w:rPr/>
        <w:t xml:space="preserve"> menampilkan lima baris pertama, </w:t>
      </w:r>
      <w:r>
        <w:rPr>
          <w:rFonts w:ascii="Courier New" w:hAnsi="Courier New" w:cs="Courier New"/>
          <w:sz w:val="22"/>
          <w:szCs w:val="22"/>
        </w:rPr>
        <w:t xml:space="preserve">info()</w:t>
      </w:r>
      <w:r>
        <w:rPr/>
        <w:t xml:space="preserve"> memeriksa struktur, dan </w:t>
      </w:r>
      <w:r>
        <w:rPr>
          <w:rFonts w:ascii="Courier New" w:hAnsi="Courier New" w:cs="Courier New"/>
          <w:sz w:val="22"/>
          <w:szCs w:val="22"/>
        </w:rPr>
        <w:t xml:space="preserve">describe()</w:t>
      </w:r>
      <w:r>
        <w:rPr/>
        <w:t xml:space="preserve"> meringkas statistik deskriptif.</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7</w:t>
      </w:r>
      <w:r>
        <w:rPr>
          <w:i/>
          <w:sz w:val="20"/>
        </w:rPr>
        <w:fldChar w:fldCharType="end"/>
      </w:r>
      <w:r>
        <w:rPr>
          <w:i/>
          <w:iCs/>
          <w:sz w:val="20"/>
          <w:szCs w:val="20"/>
        </w:rPr>
        <w:t xml:space="preserve">. DataFrame data mahasiswa</w:t>
      </w:r>
    </w:p>
    <w:tbl>
      <w:tblPr>
        <w:tblW w:w="8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2000"/>
        <w:gridCol w:w="2300"/>
        <w:gridCol w:w="2300"/>
        <w:gridCol w:w="2300"/>
      </w:tblGrid>
      <w:tr>
        <w:trPr>
          <w:tblHeader/>
        </w:trPr>
        <w:tc>
          <w:tcPr>
            <w:tcW w:w="2000" w:type="dxa"/>
            <w:shd w:val="clear" w:color="auto" w:fill="D9E2F3"/>
            <w:vAlign w:val="center"/>
          </w:tcPr>
          <w:p>
            <w:pPr>
              <w:keepNext/>
              <w:spacing w:before="30" w:after="30" w:line="240" w:lineRule="auto"/>
              <w:jc w:val="center"/>
            </w:pPr>
            <w:r>
              <w:rPr>
                <w:b/>
                <w:bCs/>
                <w:sz w:val="20"/>
                <w:szCs w:val="20"/>
              </w:rPr>
              <w:t xml:space="preserve">Mahasiswa</w:t>
            </w:r>
          </w:p>
        </w:tc>
        <w:tc>
          <w:tcPr>
            <w:tcW w:w="2300" w:type="dxa"/>
            <w:shd w:val="clear" w:color="auto" w:fill="D9E2F3"/>
            <w:vAlign w:val="center"/>
          </w:tcPr>
          <w:p>
            <w:pPr>
              <w:keepNext/>
              <w:spacing w:before="30" w:after="30" w:line="240" w:lineRule="auto"/>
              <w:jc w:val="center"/>
            </w:pPr>
            <w:r>
              <w:rPr>
                <w:b/>
                <w:bCs/>
                <w:sz w:val="20"/>
                <w:szCs w:val="20"/>
              </w:rPr>
              <w:t xml:space="preserve">Jam Belajar</w:t>
            </w:r>
          </w:p>
        </w:tc>
        <w:tc>
          <w:tcPr>
            <w:tcW w:w="2300" w:type="dxa"/>
            <w:shd w:val="clear" w:color="auto" w:fill="D9E2F3"/>
            <w:vAlign w:val="center"/>
          </w:tcPr>
          <w:p>
            <w:pPr>
              <w:keepNext/>
              <w:spacing w:before="30" w:after="30" w:line="240" w:lineRule="auto"/>
              <w:jc w:val="center"/>
            </w:pPr>
            <w:r>
              <w:rPr>
                <w:b/>
                <w:bCs/>
                <w:sz w:val="20"/>
                <w:szCs w:val="20"/>
              </w:rPr>
              <w:t xml:space="preserve">Kehadiran (%)</w:t>
            </w:r>
          </w:p>
        </w:tc>
        <w:tc>
          <w:tcPr>
            <w:tcW w:w="2300" w:type="dxa"/>
            <w:shd w:val="clear" w:color="auto" w:fill="D9E2F3"/>
            <w:vAlign w:val="center"/>
          </w:tcPr>
          <w:p>
            <w:pPr>
              <w:keepNext/>
              <w:spacing w:before="30" w:after="30" w:line="240" w:lineRule="auto"/>
              <w:jc w:val="center"/>
            </w:pPr>
            <w:r>
              <w:rPr>
                <w:b/>
                <w:bCs/>
                <w:sz w:val="20"/>
                <w:szCs w:val="20"/>
              </w:rPr>
              <w:t xml:space="preserve">Nilai Ujian</w:t>
            </w:r>
          </w:p>
        </w:tc>
      </w:tr>
      <w:tr>
        <w:trPr>
          <w:cantSplit/>
        </w:trPr>
        <w:tc>
          <w:tcPr>
            <w:tcW w:w="2000" w:type="dxa"/>
            <w:vAlign w:val="center"/>
          </w:tcPr>
          <w:p>
            <w:pPr>
              <w:keepNext/>
              <w:spacing w:before="30" w:after="30" w:line="240" w:lineRule="auto"/>
              <w:jc w:val="center"/>
            </w:pPr>
            <w:r>
              <w:rPr>
                <w:sz w:val="20"/>
                <w:szCs w:val="20"/>
              </w:rPr>
              <w:t xml:space="preserve">A</w:t>
            </w:r>
          </w:p>
        </w:tc>
        <w:tc>
          <w:tcPr>
            <w:tcW w:w="2300" w:type="dxa"/>
            <w:vAlign w:val="center"/>
          </w:tcPr>
          <w:p>
            <w:pPr>
              <w:keepNext/>
              <w:spacing w:before="30" w:after="30" w:line="240" w:lineRule="auto"/>
              <w:jc w:val="center"/>
            </w:pPr>
            <w:r>
              <w:rPr>
                <w:sz w:val="20"/>
                <w:szCs w:val="20"/>
              </w:rPr>
              <w:t xml:space="preserve">1</w:t>
            </w:r>
          </w:p>
        </w:tc>
        <w:tc>
          <w:tcPr>
            <w:tcW w:w="2300" w:type="dxa"/>
            <w:vAlign w:val="center"/>
          </w:tcPr>
          <w:p>
            <w:pPr>
              <w:keepNext/>
              <w:spacing w:before="30" w:after="30" w:line="240" w:lineRule="auto"/>
              <w:jc w:val="center"/>
            </w:pPr>
            <w:r>
              <w:rPr>
                <w:sz w:val="20"/>
                <w:szCs w:val="20"/>
              </w:rPr>
              <w:t xml:space="preserve">60</w:t>
            </w:r>
          </w:p>
        </w:tc>
        <w:tc>
          <w:tcPr>
            <w:tcW w:w="2300" w:type="dxa"/>
            <w:vAlign w:val="center"/>
          </w:tcPr>
          <w:p>
            <w:pPr>
              <w:keepNext/>
              <w:spacing w:before="30" w:after="30" w:line="240" w:lineRule="auto"/>
              <w:jc w:val="center"/>
            </w:pPr>
            <w:r>
              <w:rPr>
                <w:sz w:val="20"/>
                <w:szCs w:val="20"/>
              </w:rPr>
              <w:t xml:space="preserve">55</w:t>
            </w:r>
          </w:p>
        </w:tc>
      </w:tr>
      <w:tr>
        <w:trPr>
          <w:cantSplit/>
        </w:trPr>
        <w:tc>
          <w:tcPr>
            <w:tcW w:w="2000" w:type="dxa"/>
            <w:vAlign w:val="center"/>
          </w:tcPr>
          <w:p>
            <w:pPr>
              <w:keepNext/>
              <w:spacing w:before="30" w:after="30" w:line="240" w:lineRule="auto"/>
              <w:jc w:val="center"/>
            </w:pPr>
            <w:r>
              <w:rPr>
                <w:sz w:val="20"/>
                <w:szCs w:val="20"/>
              </w:rPr>
              <w:t xml:space="preserve">B</w:t>
            </w:r>
          </w:p>
        </w:tc>
        <w:tc>
          <w:tcPr>
            <w:tcW w:w="2300" w:type="dxa"/>
            <w:vAlign w:val="center"/>
          </w:tcPr>
          <w:p>
            <w:pPr>
              <w:keepNext/>
              <w:spacing w:before="30" w:after="30" w:line="240" w:lineRule="auto"/>
              <w:jc w:val="center"/>
            </w:pPr>
            <w:r>
              <w:rPr>
                <w:sz w:val="20"/>
                <w:szCs w:val="20"/>
              </w:rPr>
              <w:t xml:space="preserve">2</w:t>
            </w:r>
          </w:p>
        </w:tc>
        <w:tc>
          <w:tcPr>
            <w:tcW w:w="2300" w:type="dxa"/>
            <w:vAlign w:val="center"/>
          </w:tcPr>
          <w:p>
            <w:pPr>
              <w:keepNext/>
              <w:spacing w:before="30" w:after="30" w:line="240" w:lineRule="auto"/>
              <w:jc w:val="center"/>
            </w:pPr>
            <w:r>
              <w:rPr>
                <w:sz w:val="20"/>
                <w:szCs w:val="20"/>
              </w:rPr>
              <w:t xml:space="preserve">70</w:t>
            </w:r>
          </w:p>
        </w:tc>
        <w:tc>
          <w:tcPr>
            <w:tcW w:w="2300" w:type="dxa"/>
            <w:vAlign w:val="center"/>
          </w:tcPr>
          <w:p>
            <w:pPr>
              <w:keepNext/>
              <w:spacing w:before="30" w:after="30" w:line="240" w:lineRule="auto"/>
              <w:jc w:val="center"/>
            </w:pPr>
            <w:r>
              <w:rPr>
                <w:sz w:val="20"/>
                <w:szCs w:val="20"/>
              </w:rPr>
              <w:t xml:space="preserve">60</w:t>
            </w:r>
          </w:p>
        </w:tc>
      </w:tr>
      <w:tr>
        <w:trPr>
          <w:cantSplit/>
        </w:trPr>
        <w:tc>
          <w:tcPr>
            <w:tcW w:w="2000" w:type="dxa"/>
            <w:vAlign w:val="center"/>
          </w:tcPr>
          <w:p>
            <w:pPr>
              <w:keepNext/>
              <w:spacing w:before="30" w:after="30" w:line="240" w:lineRule="auto"/>
              <w:jc w:val="center"/>
            </w:pPr>
            <w:r>
              <w:rPr>
                <w:sz w:val="20"/>
                <w:szCs w:val="20"/>
              </w:rPr>
              <w:t xml:space="preserve">C</w:t>
            </w:r>
          </w:p>
        </w:tc>
        <w:tc>
          <w:tcPr>
            <w:tcW w:w="2300" w:type="dxa"/>
            <w:vAlign w:val="center"/>
          </w:tcPr>
          <w:p>
            <w:pPr>
              <w:keepNext/>
              <w:spacing w:before="30" w:after="30" w:line="240" w:lineRule="auto"/>
              <w:jc w:val="center"/>
            </w:pPr>
            <w:r>
              <w:rPr>
                <w:sz w:val="20"/>
                <w:szCs w:val="20"/>
              </w:rPr>
              <w:t xml:space="preserve">3</w:t>
            </w:r>
          </w:p>
        </w:tc>
        <w:tc>
          <w:tcPr>
            <w:tcW w:w="2300" w:type="dxa"/>
            <w:vAlign w:val="center"/>
          </w:tcPr>
          <w:p>
            <w:pPr>
              <w:keepNext/>
              <w:spacing w:before="30" w:after="30" w:line="240" w:lineRule="auto"/>
              <w:jc w:val="center"/>
            </w:pPr>
            <w:r>
              <w:rPr>
                <w:sz w:val="20"/>
                <w:szCs w:val="20"/>
              </w:rPr>
              <w:t xml:space="preserve">75</w:t>
            </w:r>
          </w:p>
        </w:tc>
        <w:tc>
          <w:tcPr>
            <w:tcW w:w="2300" w:type="dxa"/>
            <w:vAlign w:val="center"/>
          </w:tcPr>
          <w:p>
            <w:pPr>
              <w:keepNext/>
              <w:spacing w:before="30" w:after="30" w:line="240" w:lineRule="auto"/>
              <w:jc w:val="center"/>
            </w:pPr>
            <w:r>
              <w:rPr>
                <w:sz w:val="20"/>
                <w:szCs w:val="20"/>
              </w:rPr>
              <w:t xml:space="preserve">65</w:t>
            </w:r>
          </w:p>
        </w:tc>
      </w:tr>
      <w:tr>
        <w:trPr>
          <w:cantSplit/>
        </w:trPr>
        <w:tc>
          <w:tcPr>
            <w:tcW w:w="2000" w:type="dxa"/>
            <w:vAlign w:val="center"/>
          </w:tcPr>
          <w:p>
            <w:pPr>
              <w:keepNext/>
              <w:spacing w:before="30" w:after="30" w:line="240" w:lineRule="auto"/>
              <w:jc w:val="center"/>
            </w:pPr>
            <w:r>
              <w:rPr>
                <w:sz w:val="20"/>
                <w:szCs w:val="20"/>
              </w:rPr>
              <w:t xml:space="preserve">D</w:t>
            </w:r>
          </w:p>
        </w:tc>
        <w:tc>
          <w:tcPr>
            <w:tcW w:w="2300" w:type="dxa"/>
            <w:vAlign w:val="center"/>
          </w:tcPr>
          <w:p>
            <w:pPr>
              <w:keepNext/>
              <w:spacing w:before="30" w:after="30" w:line="240" w:lineRule="auto"/>
              <w:jc w:val="center"/>
            </w:pPr>
            <w:r>
              <w:rPr>
                <w:sz w:val="20"/>
                <w:szCs w:val="20"/>
              </w:rPr>
              <w:t xml:space="preserve">4</w:t>
            </w:r>
          </w:p>
        </w:tc>
        <w:tc>
          <w:tcPr>
            <w:tcW w:w="2300" w:type="dxa"/>
            <w:vAlign w:val="center"/>
          </w:tcPr>
          <w:p>
            <w:pPr>
              <w:keepNext/>
              <w:spacing w:before="30" w:after="30" w:line="240" w:lineRule="auto"/>
              <w:jc w:val="center"/>
            </w:pPr>
            <w:r>
              <w:rPr>
                <w:sz w:val="20"/>
                <w:szCs w:val="20"/>
              </w:rPr>
              <w:t xml:space="preserve">80</w:t>
            </w:r>
          </w:p>
        </w:tc>
        <w:tc>
          <w:tcPr>
            <w:tcW w:w="2300" w:type="dxa"/>
            <w:vAlign w:val="center"/>
          </w:tcPr>
          <w:p>
            <w:pPr>
              <w:keepNext/>
              <w:spacing w:before="30" w:after="30" w:line="240" w:lineRule="auto"/>
              <w:jc w:val="center"/>
            </w:pPr>
            <w:r>
              <w:rPr>
                <w:sz w:val="20"/>
                <w:szCs w:val="20"/>
              </w:rPr>
              <w:t xml:space="preserve">70</w:t>
            </w:r>
          </w:p>
        </w:tc>
      </w:tr>
      <w:tr>
        <w:trPr>
          <w:cantSplit/>
        </w:trPr>
        <w:tc>
          <w:tcPr>
            <w:tcW w:w="2000" w:type="dxa"/>
            <w:vAlign w:val="center"/>
          </w:tcPr>
          <w:p>
            <w:pPr>
              <w:keepNext/>
              <w:spacing w:before="30" w:after="30" w:line="240" w:lineRule="auto"/>
              <w:jc w:val="center"/>
            </w:pPr>
            <w:r>
              <w:rPr>
                <w:sz w:val="20"/>
                <w:szCs w:val="20"/>
              </w:rPr>
              <w:t xml:space="preserve">E</w:t>
            </w:r>
          </w:p>
        </w:tc>
        <w:tc>
          <w:tcPr>
            <w:tcW w:w="2300" w:type="dxa"/>
            <w:vAlign w:val="center"/>
          </w:tcPr>
          <w:p>
            <w:pPr>
              <w:keepNext/>
              <w:spacing w:before="30" w:after="30" w:line="240" w:lineRule="auto"/>
              <w:jc w:val="center"/>
            </w:pPr>
            <w:r>
              <w:rPr>
                <w:sz w:val="20"/>
                <w:szCs w:val="20"/>
              </w:rPr>
              <w:t xml:space="preserve">5</w:t>
            </w:r>
          </w:p>
        </w:tc>
        <w:tc>
          <w:tcPr>
            <w:tcW w:w="2300" w:type="dxa"/>
            <w:vAlign w:val="center"/>
          </w:tcPr>
          <w:p>
            <w:pPr>
              <w:keepNext/>
              <w:spacing w:before="30" w:after="30" w:line="240" w:lineRule="auto"/>
              <w:jc w:val="center"/>
            </w:pPr>
            <w:r>
              <w:rPr>
                <w:sz w:val="20"/>
                <w:szCs w:val="20"/>
              </w:rPr>
              <w:t xml:space="preserve">90</w:t>
            </w:r>
          </w:p>
        </w:tc>
        <w:tc>
          <w:tcPr>
            <w:tcW w:w="2300" w:type="dxa"/>
            <w:vAlign w:val="center"/>
          </w:tcPr>
          <w:p>
            <w:pPr>
              <w:keepNext/>
              <w:spacing w:before="30" w:after="30" w:line="240" w:lineRule="auto"/>
              <w:jc w:val="center"/>
            </w:pPr>
            <w:r>
              <w:rPr>
                <w:sz w:val="20"/>
                <w:szCs w:val="20"/>
              </w:rPr>
              <w:t xml:space="preserve">85</w:t>
            </w:r>
          </w:p>
        </w:tc>
      </w:tr>
      <w:tr>
        <w:trPr>
          <w:cantSplit/>
        </w:trPr>
        <w:tc>
          <w:tcPr>
            <w:tcW w:w="2000" w:type="dxa"/>
            <w:vAlign w:val="center"/>
          </w:tcPr>
          <w:p>
            <w:pPr>
              <w:spacing w:before="30" w:after="30" w:line="240" w:lineRule="auto"/>
              <w:jc w:val="center"/>
            </w:pPr>
            <w:r>
              <w:rPr>
                <w:sz w:val="20"/>
                <w:szCs w:val="20"/>
              </w:rPr>
              <w:t xml:space="preserve">F</w:t>
            </w:r>
          </w:p>
        </w:tc>
        <w:tc>
          <w:tcPr>
            <w:tcW w:w="2300" w:type="dxa"/>
            <w:vAlign w:val="center"/>
          </w:tcPr>
          <w:p>
            <w:pPr>
              <w:spacing w:before="30" w:after="30" w:line="240" w:lineRule="auto"/>
              <w:jc w:val="center"/>
            </w:pPr>
            <w:r>
              <w:rPr>
                <w:sz w:val="20"/>
                <w:szCs w:val="20"/>
              </w:rPr>
              <w:t xml:space="preserve">6</w:t>
            </w:r>
          </w:p>
        </w:tc>
        <w:tc>
          <w:tcPr>
            <w:tcW w:w="2300" w:type="dxa"/>
            <w:vAlign w:val="center"/>
          </w:tcPr>
          <w:p>
            <w:pPr>
              <w:spacing w:before="30" w:after="30" w:line="240" w:lineRule="auto"/>
              <w:jc w:val="center"/>
            </w:pPr>
            <w:r>
              <w:rPr>
                <w:sz w:val="20"/>
                <w:szCs w:val="20"/>
              </w:rPr>
              <w:t xml:space="preserve">95</w:t>
            </w:r>
          </w:p>
        </w:tc>
        <w:tc>
          <w:tcPr>
            <w:tcW w:w="2300" w:type="dxa"/>
            <w:vAlign w:val="center"/>
          </w:tcPr>
          <w:p>
            <w:pPr>
              <w:spacing w:before="30" w:after="30" w:line="240" w:lineRule="auto"/>
              <w:jc w:val="center"/>
            </w:pPr>
            <w:r>
              <w:rPr>
                <w:sz w:val="20"/>
                <w:szCs w:val="20"/>
              </w:rPr>
              <w:t xml:space="preserve">90</w:t>
            </w:r>
          </w:p>
        </w:tc>
      </w:tr>
    </w:tbl>
    <w:p>
      <w:pPr>
        <w:spacing w:before="0" w:after="120" w:line="240" w:lineRule="auto"/>
      </w:pPr>
    </w:p>
    <w:p>
      <w:pPr>
        <w:spacing w:before="0" w:after="160" w:line="300" w:lineRule="auto"/>
        <w:ind w:firstLine="576"/>
        <w:jc w:val="both"/>
      </w:pPr>
      <w:r>
        <w:rPr/>
        <w:t xml:space="preserve">Dataset terdiri atas </w:t>
      </w:r>
      <w:r>
        <w:rPr>
          <w:b/>
          <w:bCs/>
        </w:rPr>
        <w:t xml:space="preserve">6 baris dan 4 kolom</w:t>
      </w:r>
      <w:r>
        <w:rPr/>
        <w:t xml:space="preserve">: satu kolom teks (Mahasiswa) dan tiga kolom bilangan bulat, tanpa nilai kosong. Rata-rata jam belajar 3,5 jam, rata-rata kehadiran 78,3%, dan rata-rata nilai ujian 70,8 dengan rentang 55–90.</w:t>
      </w:r>
    </w:p>
    <w:p>
      <w:pPr>
        <w:keepNext/>
        <w:spacing w:before="200" w:after="120"/>
        <w:outlineLvl w:val="1"/>
      </w:pPr>
      <w:r>
        <w:rPr>
          <w:b/>
          <w:bCs/>
        </w:rPr>
        <w:t xml:space="preserve">7.2 Scatter Plot Jam Belajar dan Nilai Ujian</w:t>
      </w:r>
    </w:p>
    <w:p>
      <w:pPr>
        <w:keepNext/>
        <w:spacing w:before="120" w:after="0"/>
        <w:jc w:val="center"/>
      </w:pPr>
      <w:r>
        <w:drawing>
          <wp:inline distT="0" distB="0" distL="0" distR="0">
            <wp:extent cx="4320000" cy="2765110"/>
            <wp:docPr id="203" name="Gambar 3"/>
            <wp:cNvGraphicFramePr>
              <a:graphicFrameLocks noChangeAspect="1"/>
            </wp:cNvGraphicFramePr>
            <a:graphic>
              <a:graphicData uri="http://schemas.openxmlformats.org/drawingml/2006/picture">
                <pic:pic>
                  <pic:nvPicPr>
                    <pic:cNvPr id="203" name="img3.png"/>
                    <pic:cNvPicPr/>
                  </pic:nvPicPr>
                  <pic:blipFill>
                    <a:blip r:embed="rIdImg3"/>
                    <a:stretch>
                      <a:fillRect/>
                    </a:stretch>
                  </pic:blipFill>
                  <pic:spPr>
                    <a:xfrm>
                      <a:off x="0" y="0"/>
                      <a:ext cx="4320000" cy="2765110"/>
                    </a:xfrm>
                    <a:prstGeom prst="rect">
                      <a:avLst/>
                    </a:prstGeom>
                  </pic:spPr>
                </pic:pic>
              </a:graphicData>
            </a:graphic>
          </wp:inline>
        </w:drawing>
      </w:r>
    </w:p>
    <w:p>
      <w:pPr>
        <w:spacing w:before="60" w:after="220"/>
        <w:jc w:val="center"/>
      </w:pPr>
      <w:r>
        <w:rPr>
          <w:i/>
          <w:iCs/>
          <w:sz w:val="20"/>
          <w:szCs w:val="20"/>
        </w:rPr>
        <w:t xml:space="preserve">Gambar </w:t>
      </w:r>
      <w:r>
        <w:rPr>
          <w:i/>
          <w:sz w:val="20"/>
        </w:rPr>
        <w:fldChar w:fldCharType="begin"/>
      </w:r>
      <w:r>
        <w:rPr>
          <w:i/>
          <w:sz w:val="20"/>
        </w:rPr>
        <w:instrText xml:space="preserve"> SEQ Gambar \* ARABIC </w:instrText>
      </w:r>
      <w:r>
        <w:rPr>
          <w:i/>
          <w:sz w:val="20"/>
        </w:rPr>
        <w:fldChar w:fldCharType="separate"/>
      </w:r>
      <w:r>
        <w:rPr>
          <w:i/>
          <w:iCs/>
          <w:sz w:val="20"/>
          <w:szCs w:val="20"/>
        </w:rPr>
        <w:t>3</w:t>
      </w:r>
      <w:r>
        <w:rPr>
          <w:i/>
          <w:sz w:val="20"/>
        </w:rPr>
        <w:fldChar w:fldCharType="end"/>
      </w:r>
      <w:r>
        <w:rPr>
          <w:i/>
          <w:iCs/>
          <w:sz w:val="20"/>
          <w:szCs w:val="20"/>
        </w:rPr>
        <w:t xml:space="preserve">. Hubungan jam belajar dan nilai ujian (Seaborn)</w:t>
      </w:r>
    </w:p>
    <w:p>
      <w:pPr>
        <w:spacing w:before="0" w:after="160" w:line="300" w:lineRule="auto"/>
        <w:ind w:firstLine="576"/>
        <w:jc w:val="both"/>
      </w:pPr>
      <w:r>
        <w:rPr>
          <w:b/>
          <w:bCs/>
        </w:rPr>
        <w:t xml:space="preserve">Interpretasi.</w:t>
      </w:r>
      <w:r>
        <w:rPr/>
        <w:t xml:space="preserve"> Keenam titik membentuk pola naik yang hampir lurus. Garis tren menunjukkan bahwa setiap tambahan satu jam belajar beriringan dengan kenaikan nilai sekitar 7,3 poin. Mahasiswa E dan F sedikit berada di atas garis, sedangkan C dan D sedikit di bawahnya.</w:t>
      </w:r>
    </w:p>
    <w:p>
      <w:pPr>
        <w:keepNext/>
        <w:spacing w:before="200" w:after="120"/>
        <w:outlineLvl w:val="1"/>
      </w:pPr>
      <w:r>
        <w:rPr>
          <w:b/>
          <w:bCs/>
        </w:rPr>
        <w:t xml:space="preserve">7.3 Heatmap Korelasi</w:t>
      </w:r>
    </w:p>
    <w:p>
      <w:pPr>
        <w:keepNext/>
        <w:spacing w:before="120" w:after="0"/>
        <w:jc w:val="center"/>
      </w:pPr>
      <w:r>
        <w:drawing>
          <wp:inline distT="0" distB="0" distL="0" distR="0">
            <wp:extent cx="3420000" cy="3009600"/>
            <wp:docPr id="204" name="Gambar 4"/>
            <wp:cNvGraphicFramePr>
              <a:graphicFrameLocks noChangeAspect="1"/>
            </wp:cNvGraphicFramePr>
            <a:graphic>
              <a:graphicData uri="http://schemas.openxmlformats.org/drawingml/2006/picture">
                <pic:pic>
                  <pic:nvPicPr>
                    <pic:cNvPr id="204" name="img4.png"/>
                    <pic:cNvPicPr/>
                  </pic:nvPicPr>
                  <pic:blipFill>
                    <a:blip r:embed="rIdImg4"/>
                    <a:stretch>
                      <a:fillRect/>
                    </a:stretch>
                  </pic:blipFill>
                  <pic:spPr>
                    <a:xfrm>
                      <a:off x="0" y="0"/>
                      <a:ext cx="3420000" cy="3009600"/>
                    </a:xfrm>
                    <a:prstGeom prst="rect">
                      <a:avLst/>
                    </a:prstGeom>
                  </pic:spPr>
                </pic:pic>
              </a:graphicData>
            </a:graphic>
          </wp:inline>
        </w:drawing>
      </w:r>
    </w:p>
    <w:p>
      <w:pPr>
        <w:spacing w:before="60" w:after="220"/>
        <w:jc w:val="center"/>
      </w:pPr>
      <w:r>
        <w:rPr>
          <w:i/>
          <w:iCs/>
          <w:sz w:val="20"/>
          <w:szCs w:val="20"/>
        </w:rPr>
        <w:t xml:space="preserve">Gambar </w:t>
      </w:r>
      <w:r>
        <w:rPr>
          <w:i/>
          <w:sz w:val="20"/>
        </w:rPr>
        <w:fldChar w:fldCharType="begin"/>
      </w:r>
      <w:r>
        <w:rPr>
          <w:i/>
          <w:sz w:val="20"/>
        </w:rPr>
        <w:instrText xml:space="preserve"> SEQ Gambar \* ARABIC </w:instrText>
      </w:r>
      <w:r>
        <w:rPr>
          <w:i/>
          <w:sz w:val="20"/>
        </w:rPr>
        <w:fldChar w:fldCharType="separate"/>
      </w:r>
      <w:r>
        <w:rPr>
          <w:i/>
          <w:iCs/>
          <w:sz w:val="20"/>
          <w:szCs w:val="20"/>
        </w:rPr>
        <w:t>4</w:t>
      </w:r>
      <w:r>
        <w:rPr>
          <w:i/>
          <w:sz w:val="20"/>
        </w:rPr>
        <w:fldChar w:fldCharType="end"/>
      </w:r>
      <w:r>
        <w:rPr>
          <w:i/>
          <w:iCs/>
          <w:sz w:val="20"/>
          <w:szCs w:val="20"/>
        </w:rPr>
        <w:t xml:space="preserve">. Heatmap korelasi Pearson variabel mahasiswa</w:t>
      </w:r>
    </w:p>
    <w:p>
      <w:pPr>
        <w:spacing w:before="0" w:after="160" w:line="300" w:lineRule="auto"/>
        <w:ind w:firstLine="576"/>
        <w:jc w:val="both"/>
      </w:pPr>
      <w:r>
        <w:rPr>
          <w:b/>
          <w:bCs/>
        </w:rPr>
        <w:t xml:space="preserve">Interpretasi.</w:t>
      </w:r>
      <w:r>
        <w:rPr/>
        <w:t xml:space="preserve"> Korelasi jam belajar dengan nilai ujian sebesar 0,978, kehadiran dengan nilai ujian 0,982, dan jam belajar dengan kehadiran 0,994. Ketiganya bergerak searah dan hampir sempurna pada data ini.</w:t>
      </w:r>
    </w:p>
    <w:p>
      <w:pPr>
        <w:keepNext/>
        <w:spacing w:before="200" w:after="120"/>
        <w:outlineLvl w:val="1"/>
      </w:pPr>
      <w:r>
        <w:rPr>
          <w:b/>
          <w:bCs/>
        </w:rPr>
        <w:t xml:space="preserve">7.4 Apakah Hubungan Ini Sebab-Akibat?</w:t>
      </w:r>
    </w:p>
    <w:p>
      <w:pPr>
        <w:spacing w:before="0" w:after="160" w:line="300" w:lineRule="auto"/>
        <w:ind w:firstLine="576"/>
        <w:jc w:val="both"/>
      </w:pPr>
      <w:r>
        <w:rPr>
          <w:b/>
          <w:bCs/>
        </w:rPr>
        <w:t xml:space="preserve">Tidak dapat disimpulkan demikian.</w:t>
      </w:r>
      <w:r>
        <w:rPr/>
        <w:t xml:space="preserve"> Alasannya:</w:t>
      </w:r>
    </w:p>
    <w:p>
      <w:pPr>
        <w:spacing w:before="0" w:after="60" w:line="300" w:lineRule="auto"/>
        <w:ind w:left="576" w:hanging="360"/>
        <w:jc w:val="both"/>
      </w:pPr>
      <w:r>
        <w:rPr/>
        <w:t xml:space="preserve">1.	</w:t>
      </w:r>
      <w:r>
        <w:rPr>
          <w:b/>
          <w:bCs/>
        </w:rPr>
        <w:t xml:space="preserve">Data sangat sedikit.</w:t>
      </w:r>
      <w:r>
        <w:rPr/>
        <w:t xml:space="preserve"> Enam pengamatan mudah membentuk pola rapi secara kebetulan.</w:t>
      </w:r>
    </w:p>
    <w:p>
      <w:pPr>
        <w:spacing w:before="0" w:after="60" w:line="300" w:lineRule="auto"/>
        <w:ind w:left="576" w:hanging="360"/>
        <w:jc w:val="both"/>
      </w:pPr>
      <w:r>
        <w:rPr/>
        <w:t xml:space="preserve">2.	</w:t>
      </w:r>
      <w:r>
        <w:rPr>
          <w:b/>
          <w:bCs/>
        </w:rPr>
        <w:t xml:space="preserve">Korelasi hanya menunjukkan kebersamaan.</w:t>
      </w:r>
      <w:r>
        <w:rPr/>
        <w:t xml:space="preserve"> Dua variabel yang bergerak bersama belum tentu saling memengaruhi, dan arah pengaruhnya pun tidak diketahui.</w:t>
      </w:r>
    </w:p>
    <w:p>
      <w:pPr>
        <w:spacing w:before="0" w:after="60" w:line="300" w:lineRule="auto"/>
        <w:ind w:left="576" w:hanging="360"/>
        <w:jc w:val="both"/>
      </w:pPr>
      <w:r>
        <w:rPr/>
        <w:t xml:space="preserve">3.	</w:t>
      </w:r>
      <w:r>
        <w:rPr>
          <w:b/>
          <w:bCs/>
        </w:rPr>
        <w:t xml:space="preserve">Ada faktor lain yang tidak diukur.</w:t>
      </w:r>
      <w:r>
        <w:rPr/>
        <w:t xml:space="preserve"> Kemampuan awal, motivasi, dan cara belajar dapat memengaruhi jam belajar sekaligus nilai.</w:t>
      </w:r>
    </w:p>
    <w:p>
      <w:pPr>
        <w:spacing w:before="0" w:after="140" w:line="300" w:lineRule="auto"/>
        <w:ind w:left="576" w:hanging="360"/>
        <w:jc w:val="both"/>
      </w:pPr>
      <w:r>
        <w:rPr/>
        <w:t xml:space="preserve">4.	</w:t>
      </w:r>
      <w:r>
        <w:rPr>
          <w:b/>
          <w:bCs/>
        </w:rPr>
        <w:t xml:space="preserve">Jam belajar dan kehadiran saling terkait erat (0,994).</w:t>
      </w:r>
      <w:r>
        <w:rPr/>
        <w:t xml:space="preserve"> Pengaruh masing-masing terhadap nilai tidak dapat dipisahkan dari data ini.</w:t>
      </w:r>
    </w:p>
    <w:p>
      <w:pPr>
        <w:spacing w:before="0" w:after="160" w:line="300" w:lineRule="auto"/>
        <w:ind w:firstLine="576"/>
        <w:jc w:val="both"/>
      </w:pPr>
      <w:r>
        <w:rPr/>
        <w:t xml:space="preserve">Untuk menyatakan hubungan sebab-akibat diperlukan data yang lebih banyak dan desain penelitian yang mengendalikan faktor lain, misalnya eksperimen dengan kelompok pembanding.</w:t>
      </w:r>
    </w:p>
    <w:p>
      <w:pPr>
        <w:keepNext/>
        <w:pageBreakBefore/>
        <w:spacing w:before="320" w:after="160"/>
        <w:outlineLvl w:val="0"/>
      </w:pPr>
      <w:r>
        <w:rPr>
          <w:b/>
          <w:bCs/>
          <w:sz w:val="26"/>
          <w:szCs w:val="26"/>
        </w:rPr>
        <w:t xml:space="preserve">8. Soal 5: Studi Kasus Analisis Data Saham BBCA</w:t>
      </w:r>
    </w:p>
    <w:p>
      <w:pPr>
        <w:keepNext/>
        <w:spacing w:before="200" w:after="120"/>
        <w:outlineLvl w:val="1"/>
      </w:pPr>
      <w:r>
        <w:rPr>
          <w:b/>
          <w:bCs/>
        </w:rPr>
        <w:t xml:space="preserve">8.1 Tujuan Analisis</w:t>
      </w:r>
    </w:p>
    <w:p>
      <w:pPr>
        <w:spacing w:before="0" w:after="160" w:line="300" w:lineRule="auto"/>
        <w:ind w:firstLine="576"/>
        <w:jc w:val="both"/>
      </w:pPr>
      <w:r>
        <w:rPr/>
        <w:t xml:space="preserve">Studi kasus ini mengevaluasi kinerja harga saham BBCA selama 2 Januari 2020 – 28 Oktober 2026 untuk menjawab lima pertanyaan: (1) bagaimana tren harga jangka panjang serta kapan titik tertinggi dan terendahnya; (2) bagaimana kinerja dari tahun ke tahun; (3) seberapa besar risiko pergerakan harga harian; (4) apakah volume perdagangan berhubungan dengan besarnya pergerakan harga; dan (5) apakah terdapat pola bulanan.</w:t>
      </w:r>
    </w:p>
    <w:p>
      <w:pPr>
        <w:keepNext/>
        <w:spacing w:before="200" w:after="120"/>
        <w:outlineLvl w:val="1"/>
      </w:pPr>
      <w:r>
        <w:rPr>
          <w:b/>
          <w:bCs/>
        </w:rPr>
        <w:t xml:space="preserve">8.2 Informasi Dasar Dataset</w:t>
      </w:r>
    </w:p>
    <w:p>
      <w:pPr>
        <w:spacing w:before="0" w:after="160" w:line="300" w:lineRule="auto"/>
        <w:ind w:firstLine="576"/>
        <w:jc w:val="both"/>
      </w:pPr>
      <w:r>
        <w:rPr/>
        <w:t xml:space="preserve">Pemeriksaan dengan </w:t>
      </w:r>
      <w:r>
        <w:rPr>
          <w:rFonts w:ascii="Courier New" w:hAnsi="Courier New" w:cs="Courier New"/>
          <w:sz w:val="22"/>
          <w:szCs w:val="22"/>
        </w:rPr>
        <w:t xml:space="preserve">info()</w:t>
      </w:r>
      <w:r>
        <w:rPr/>
        <w:t xml:space="preserve">, </w:t>
      </w:r>
      <w:r>
        <w:rPr>
          <w:rFonts w:ascii="Courier New" w:hAnsi="Courier New" w:cs="Courier New"/>
          <w:sz w:val="22"/>
          <w:szCs w:val="22"/>
        </w:rPr>
        <w:t xml:space="preserve">head()</w:t>
      </w:r>
      <w:r>
        <w:rPr/>
        <w:t xml:space="preserve">, </w:t>
      </w:r>
      <w:r>
        <w:rPr>
          <w:rFonts w:ascii="Courier New" w:hAnsi="Courier New" w:cs="Courier New"/>
          <w:sz w:val="22"/>
          <w:szCs w:val="22"/>
        </w:rPr>
        <w:t xml:space="preserve">tail()</w:t>
      </w:r>
      <w:r>
        <w:rPr/>
        <w:t xml:space="preserve">, </w:t>
      </w:r>
      <w:r>
        <w:rPr>
          <w:rFonts w:ascii="Courier New" w:hAnsi="Courier New" w:cs="Courier New"/>
          <w:sz w:val="22"/>
          <w:szCs w:val="22"/>
        </w:rPr>
        <w:t xml:space="preserve">describe()</w:t>
      </w:r>
      <w:r>
        <w:rPr/>
        <w:t xml:space="preserve">, </w:t>
      </w:r>
      <w:r>
        <w:rPr>
          <w:rFonts w:ascii="Courier New" w:hAnsi="Courier New" w:cs="Courier New"/>
          <w:sz w:val="22"/>
          <w:szCs w:val="22"/>
        </w:rPr>
        <w:t xml:space="preserve">isna()</w:t>
      </w:r>
      <w:r>
        <w:rPr/>
        <w:t xml:space="preserve">, dan </w:t>
      </w:r>
      <w:r>
        <w:rPr>
          <w:rFonts w:ascii="Courier New" w:hAnsi="Courier New" w:cs="Courier New"/>
          <w:sz w:val="22"/>
          <w:szCs w:val="22"/>
        </w:rPr>
        <w:t xml:space="preserve">duplicated()</w:t>
      </w:r>
      <w:r>
        <w:rPr/>
        <w:t xml:space="preserve"> menunjukkan dataset memiliki </w:t>
      </w:r>
      <w:r>
        <w:rPr>
          <w:b/>
          <w:bCs/>
        </w:rPr>
        <w:t xml:space="preserve">1.637 baris dan 7 kolom</w:t>
      </w:r>
      <w:r>
        <w:rPr/>
        <w:t xml:space="preserve"> (Date, Open, High, Low, Close, Volume, Source), tanpa nilai kosong, tanpa baris duplikat, dan tanpa tanggal ganda. Jumlah baris jauh di atas syarat minimal 100 baris. Ringkasan statistiknya ditunjukkan pada Tabel 8, sedangkan variabel yang dianalisis dijelaskan pada Tabel 9.</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8</w:t>
      </w:r>
      <w:r>
        <w:rPr>
          <w:i/>
          <w:sz w:val="20"/>
        </w:rPr>
        <w:fldChar w:fldCharType="end"/>
      </w:r>
      <w:r>
        <w:rPr>
          <w:i/>
          <w:iCs/>
          <w:sz w:val="20"/>
          <w:szCs w:val="20"/>
        </w:rPr>
        <w:t xml:space="preserve">. Statistik deskriptif data harga saham BBCA</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2500"/>
        <w:gridCol w:w="1700"/>
        <w:gridCol w:w="1700"/>
        <w:gridCol w:w="1700"/>
        <w:gridCol w:w="1700"/>
      </w:tblGrid>
      <w:tr>
        <w:trPr>
          <w:tblHeader/>
        </w:trPr>
        <w:tc>
          <w:tcPr>
            <w:tcW w:w="2500" w:type="dxa"/>
            <w:shd w:val="clear" w:color="auto" w:fill="D9E2F3"/>
            <w:vAlign w:val="center"/>
          </w:tcPr>
          <w:p>
            <w:pPr>
              <w:keepNext/>
              <w:spacing w:before="30" w:after="30" w:line="240" w:lineRule="auto"/>
              <w:jc w:val="center"/>
            </w:pPr>
            <w:r>
              <w:rPr>
                <w:b/>
                <w:bCs/>
                <w:sz w:val="20"/>
                <w:szCs w:val="20"/>
              </w:rPr>
              <w:t xml:space="preserve">Variabel</w:t>
            </w:r>
          </w:p>
        </w:tc>
        <w:tc>
          <w:tcPr>
            <w:tcW w:w="1700" w:type="dxa"/>
            <w:shd w:val="clear" w:color="auto" w:fill="D9E2F3"/>
            <w:vAlign w:val="center"/>
          </w:tcPr>
          <w:p>
            <w:pPr>
              <w:keepNext/>
              <w:spacing w:before="30" w:after="30" w:line="240" w:lineRule="auto"/>
              <w:jc w:val="center"/>
            </w:pPr>
            <w:r>
              <w:rPr>
                <w:b/>
                <w:bCs/>
                <w:sz w:val="20"/>
                <w:szCs w:val="20"/>
              </w:rPr>
              <w:t xml:space="preserve">Rata-rata</w:t>
            </w:r>
          </w:p>
        </w:tc>
        <w:tc>
          <w:tcPr>
            <w:tcW w:w="1700" w:type="dxa"/>
            <w:shd w:val="clear" w:color="auto" w:fill="D9E2F3"/>
            <w:vAlign w:val="center"/>
          </w:tcPr>
          <w:p>
            <w:pPr>
              <w:keepNext/>
              <w:spacing w:before="30" w:after="30" w:line="240" w:lineRule="auto"/>
              <w:jc w:val="center"/>
            </w:pPr>
            <w:r>
              <w:rPr>
                <w:b/>
                <w:bCs/>
                <w:sz w:val="20"/>
                <w:szCs w:val="20"/>
              </w:rPr>
              <w:t xml:space="preserve">Median</w:t>
            </w:r>
          </w:p>
        </w:tc>
        <w:tc>
          <w:tcPr>
            <w:tcW w:w="1700" w:type="dxa"/>
            <w:shd w:val="clear" w:color="auto" w:fill="D9E2F3"/>
            <w:vAlign w:val="center"/>
          </w:tcPr>
          <w:p>
            <w:pPr>
              <w:keepNext/>
              <w:spacing w:before="30" w:after="30" w:line="240" w:lineRule="auto"/>
              <w:jc w:val="center"/>
            </w:pPr>
            <w:r>
              <w:rPr>
                <w:b/>
                <w:bCs/>
                <w:sz w:val="20"/>
                <w:szCs w:val="20"/>
              </w:rPr>
              <w:t xml:space="preserve">Minimum</w:t>
            </w:r>
          </w:p>
        </w:tc>
        <w:tc>
          <w:tcPr>
            <w:tcW w:w="1700" w:type="dxa"/>
            <w:shd w:val="clear" w:color="auto" w:fill="D9E2F3"/>
            <w:vAlign w:val="center"/>
          </w:tcPr>
          <w:p>
            <w:pPr>
              <w:keepNext/>
              <w:spacing w:before="30" w:after="30" w:line="240" w:lineRule="auto"/>
              <w:jc w:val="center"/>
            </w:pPr>
            <w:r>
              <w:rPr>
                <w:b/>
                <w:bCs/>
                <w:sz w:val="20"/>
                <w:szCs w:val="20"/>
              </w:rPr>
              <w:t xml:space="preserve">Maksimum</w:t>
            </w:r>
          </w:p>
        </w:tc>
      </w:tr>
      <w:tr>
        <w:trPr>
          <w:cantSplit/>
        </w:trPr>
        <w:tc>
          <w:tcPr>
            <w:tcW w:w="2500" w:type="dxa"/>
            <w:vAlign w:val="center"/>
          </w:tcPr>
          <w:p>
            <w:pPr>
              <w:keepNext/>
              <w:spacing w:before="30" w:after="30" w:line="240" w:lineRule="auto"/>
              <w:jc w:val="left"/>
            </w:pPr>
            <w:r>
              <w:rPr>
                <w:sz w:val="20"/>
                <w:szCs w:val="20"/>
              </w:rPr>
              <w:t xml:space="preserve">Open (Rp)</w:t>
            </w:r>
          </w:p>
        </w:tc>
        <w:tc>
          <w:tcPr>
            <w:tcW w:w="1700" w:type="dxa"/>
            <w:vAlign w:val="center"/>
          </w:tcPr>
          <w:p>
            <w:pPr>
              <w:keepNext/>
              <w:spacing w:before="30" w:after="30" w:line="240" w:lineRule="auto"/>
              <w:jc w:val="center"/>
            </w:pPr>
            <w:r>
              <w:rPr>
                <w:sz w:val="20"/>
                <w:szCs w:val="20"/>
              </w:rPr>
              <w:t xml:space="preserve">7.845</w:t>
            </w:r>
          </w:p>
        </w:tc>
        <w:tc>
          <w:tcPr>
            <w:tcW w:w="1700" w:type="dxa"/>
            <w:vAlign w:val="center"/>
          </w:tcPr>
          <w:p>
            <w:pPr>
              <w:keepNext/>
              <w:spacing w:before="30" w:after="30" w:line="240" w:lineRule="auto"/>
              <w:jc w:val="center"/>
            </w:pPr>
            <w:r>
              <w:rPr>
                <w:sz w:val="20"/>
                <w:szCs w:val="20"/>
              </w:rPr>
              <w:t xml:space="preserve">7.900</w:t>
            </w:r>
          </w:p>
        </w:tc>
        <w:tc>
          <w:tcPr>
            <w:tcW w:w="1700" w:type="dxa"/>
            <w:vAlign w:val="center"/>
          </w:tcPr>
          <w:p>
            <w:pPr>
              <w:keepNext/>
              <w:spacing w:before="30" w:after="30" w:line="240" w:lineRule="auto"/>
              <w:jc w:val="center"/>
            </w:pPr>
            <w:r>
              <w:rPr>
                <w:sz w:val="20"/>
                <w:szCs w:val="20"/>
              </w:rPr>
              <w:t xml:space="preserve">4.450</w:t>
            </w:r>
          </w:p>
        </w:tc>
        <w:tc>
          <w:tcPr>
            <w:tcW w:w="1700" w:type="dxa"/>
            <w:vAlign w:val="center"/>
          </w:tcPr>
          <w:p>
            <w:pPr>
              <w:keepNext/>
              <w:spacing w:before="30" w:after="30" w:line="240" w:lineRule="auto"/>
              <w:jc w:val="center"/>
            </w:pPr>
            <w:r>
              <w:rPr>
                <w:sz w:val="20"/>
                <w:szCs w:val="20"/>
              </w:rPr>
              <w:t xml:space="preserve">10.900</w:t>
            </w:r>
          </w:p>
        </w:tc>
      </w:tr>
      <w:tr>
        <w:trPr>
          <w:cantSplit/>
        </w:trPr>
        <w:tc>
          <w:tcPr>
            <w:tcW w:w="2500" w:type="dxa"/>
            <w:vAlign w:val="center"/>
          </w:tcPr>
          <w:p>
            <w:pPr>
              <w:keepNext/>
              <w:spacing w:before="30" w:after="30" w:line="240" w:lineRule="auto"/>
              <w:jc w:val="left"/>
            </w:pPr>
            <w:r>
              <w:rPr>
                <w:sz w:val="20"/>
                <w:szCs w:val="20"/>
              </w:rPr>
              <w:t xml:space="preserve">High (Rp)</w:t>
            </w:r>
          </w:p>
        </w:tc>
        <w:tc>
          <w:tcPr>
            <w:tcW w:w="1700" w:type="dxa"/>
            <w:vAlign w:val="center"/>
          </w:tcPr>
          <w:p>
            <w:pPr>
              <w:keepNext/>
              <w:spacing w:before="30" w:after="30" w:line="240" w:lineRule="auto"/>
              <w:jc w:val="center"/>
            </w:pPr>
            <w:r>
              <w:rPr>
                <w:sz w:val="20"/>
                <w:szCs w:val="20"/>
              </w:rPr>
              <w:t xml:space="preserve">7.922</w:t>
            </w:r>
          </w:p>
        </w:tc>
        <w:tc>
          <w:tcPr>
            <w:tcW w:w="1700" w:type="dxa"/>
            <w:vAlign w:val="center"/>
          </w:tcPr>
          <w:p>
            <w:pPr>
              <w:keepNext/>
              <w:spacing w:before="30" w:after="30" w:line="240" w:lineRule="auto"/>
              <w:jc w:val="center"/>
            </w:pPr>
            <w:r>
              <w:rPr>
                <w:sz w:val="20"/>
                <w:szCs w:val="20"/>
              </w:rPr>
              <w:t xml:space="preserve">7.975</w:t>
            </w:r>
          </w:p>
        </w:tc>
        <w:tc>
          <w:tcPr>
            <w:tcW w:w="1700" w:type="dxa"/>
            <w:vAlign w:val="center"/>
          </w:tcPr>
          <w:p>
            <w:pPr>
              <w:keepNext/>
              <w:spacing w:before="30" w:after="30" w:line="240" w:lineRule="auto"/>
              <w:jc w:val="center"/>
            </w:pPr>
            <w:r>
              <w:rPr>
                <w:sz w:val="20"/>
                <w:szCs w:val="20"/>
              </w:rPr>
              <w:t xml:space="preserve">4.800</w:t>
            </w:r>
          </w:p>
        </w:tc>
        <w:tc>
          <w:tcPr>
            <w:tcW w:w="1700" w:type="dxa"/>
            <w:vAlign w:val="center"/>
          </w:tcPr>
          <w:p>
            <w:pPr>
              <w:keepNext/>
              <w:spacing w:before="30" w:after="30" w:line="240" w:lineRule="auto"/>
              <w:jc w:val="center"/>
            </w:pPr>
            <w:r>
              <w:rPr>
                <w:sz w:val="20"/>
                <w:szCs w:val="20"/>
              </w:rPr>
              <w:t xml:space="preserve">10.950</w:t>
            </w:r>
          </w:p>
        </w:tc>
      </w:tr>
      <w:tr>
        <w:trPr>
          <w:cantSplit/>
        </w:trPr>
        <w:tc>
          <w:tcPr>
            <w:tcW w:w="2500" w:type="dxa"/>
            <w:vAlign w:val="center"/>
          </w:tcPr>
          <w:p>
            <w:pPr>
              <w:keepNext/>
              <w:spacing w:before="30" w:after="30" w:line="240" w:lineRule="auto"/>
              <w:jc w:val="left"/>
            </w:pPr>
            <w:r>
              <w:rPr>
                <w:sz w:val="20"/>
                <w:szCs w:val="20"/>
              </w:rPr>
              <w:t xml:space="preserve">Low (Rp)</w:t>
            </w:r>
          </w:p>
        </w:tc>
        <w:tc>
          <w:tcPr>
            <w:tcW w:w="1700" w:type="dxa"/>
            <w:vAlign w:val="center"/>
          </w:tcPr>
          <w:p>
            <w:pPr>
              <w:keepNext/>
              <w:spacing w:before="30" w:after="30" w:line="240" w:lineRule="auto"/>
              <w:jc w:val="center"/>
            </w:pPr>
            <w:r>
              <w:rPr>
                <w:sz w:val="20"/>
                <w:szCs w:val="20"/>
              </w:rPr>
              <w:t xml:space="preserve">7.769</w:t>
            </w:r>
          </w:p>
        </w:tc>
        <w:tc>
          <w:tcPr>
            <w:tcW w:w="1700" w:type="dxa"/>
            <w:vAlign w:val="center"/>
          </w:tcPr>
          <w:p>
            <w:pPr>
              <w:keepNext/>
              <w:spacing w:before="30" w:after="30" w:line="240" w:lineRule="auto"/>
              <w:jc w:val="center"/>
            </w:pPr>
            <w:r>
              <w:rPr>
                <w:sz w:val="20"/>
                <w:szCs w:val="20"/>
              </w:rPr>
              <w:t xml:space="preserve">7.825</w:t>
            </w:r>
          </w:p>
        </w:tc>
        <w:tc>
          <w:tcPr>
            <w:tcW w:w="1700" w:type="dxa"/>
            <w:vAlign w:val="center"/>
          </w:tcPr>
          <w:p>
            <w:pPr>
              <w:keepNext/>
              <w:spacing w:before="30" w:after="30" w:line="240" w:lineRule="auto"/>
              <w:jc w:val="center"/>
            </w:pPr>
            <w:r>
              <w:rPr>
                <w:sz w:val="20"/>
                <w:szCs w:val="20"/>
              </w:rPr>
              <w:t xml:space="preserve">4.325</w:t>
            </w:r>
          </w:p>
        </w:tc>
        <w:tc>
          <w:tcPr>
            <w:tcW w:w="1700" w:type="dxa"/>
            <w:vAlign w:val="center"/>
          </w:tcPr>
          <w:p>
            <w:pPr>
              <w:keepNext/>
              <w:spacing w:before="30" w:after="30" w:line="240" w:lineRule="auto"/>
              <w:jc w:val="center"/>
            </w:pPr>
            <w:r>
              <w:rPr>
                <w:sz w:val="20"/>
                <w:szCs w:val="20"/>
              </w:rPr>
              <w:t xml:space="preserve">10.775</w:t>
            </w:r>
          </w:p>
        </w:tc>
      </w:tr>
      <w:tr>
        <w:trPr>
          <w:cantSplit/>
        </w:trPr>
        <w:tc>
          <w:tcPr>
            <w:tcW w:w="2500" w:type="dxa"/>
            <w:vAlign w:val="center"/>
          </w:tcPr>
          <w:p>
            <w:pPr>
              <w:keepNext/>
              <w:spacing w:before="30" w:after="30" w:line="240" w:lineRule="auto"/>
              <w:jc w:val="left"/>
            </w:pPr>
            <w:r>
              <w:rPr>
                <w:sz w:val="20"/>
                <w:szCs w:val="20"/>
              </w:rPr>
              <w:t xml:space="preserve">Close (Rp)</w:t>
            </w:r>
          </w:p>
        </w:tc>
        <w:tc>
          <w:tcPr>
            <w:tcW w:w="1700" w:type="dxa"/>
            <w:vAlign w:val="center"/>
          </w:tcPr>
          <w:p>
            <w:pPr>
              <w:keepNext/>
              <w:spacing w:before="30" w:after="30" w:line="240" w:lineRule="auto"/>
              <w:jc w:val="center"/>
            </w:pPr>
            <w:r>
              <w:rPr>
                <w:sz w:val="20"/>
                <w:szCs w:val="20"/>
              </w:rPr>
              <w:t xml:space="preserve">7.842</w:t>
            </w:r>
          </w:p>
        </w:tc>
        <w:tc>
          <w:tcPr>
            <w:tcW w:w="1700" w:type="dxa"/>
            <w:vAlign w:val="center"/>
          </w:tcPr>
          <w:p>
            <w:pPr>
              <w:keepNext/>
              <w:spacing w:before="30" w:after="30" w:line="240" w:lineRule="auto"/>
              <w:jc w:val="center"/>
            </w:pPr>
            <w:r>
              <w:rPr>
                <w:sz w:val="20"/>
                <w:szCs w:val="20"/>
              </w:rPr>
              <w:t xml:space="preserve">7.925</w:t>
            </w:r>
          </w:p>
        </w:tc>
        <w:tc>
          <w:tcPr>
            <w:tcW w:w="1700" w:type="dxa"/>
            <w:vAlign w:val="center"/>
          </w:tcPr>
          <w:p>
            <w:pPr>
              <w:keepNext/>
              <w:spacing w:before="30" w:after="30" w:line="240" w:lineRule="auto"/>
              <w:jc w:val="center"/>
            </w:pPr>
            <w:r>
              <w:rPr>
                <w:sz w:val="20"/>
                <w:szCs w:val="20"/>
              </w:rPr>
              <w:t xml:space="preserve">4.430</w:t>
            </w:r>
          </w:p>
        </w:tc>
        <w:tc>
          <w:tcPr>
            <w:tcW w:w="1700" w:type="dxa"/>
            <w:vAlign w:val="center"/>
          </w:tcPr>
          <w:p>
            <w:pPr>
              <w:keepNext/>
              <w:spacing w:before="30" w:after="30" w:line="240" w:lineRule="auto"/>
              <w:jc w:val="center"/>
            </w:pPr>
            <w:r>
              <w:rPr>
                <w:sz w:val="20"/>
                <w:szCs w:val="20"/>
              </w:rPr>
              <w:t xml:space="preserve">10.950</w:t>
            </w:r>
          </w:p>
        </w:tc>
      </w:tr>
      <w:tr>
        <w:trPr>
          <w:cantSplit/>
        </w:trPr>
        <w:tc>
          <w:tcPr>
            <w:tcW w:w="2500" w:type="dxa"/>
            <w:vAlign w:val="center"/>
          </w:tcPr>
          <w:p>
            <w:pPr>
              <w:spacing w:before="30" w:after="30" w:line="240" w:lineRule="auto"/>
              <w:jc w:val="left"/>
            </w:pPr>
            <w:r>
              <w:rPr>
                <w:sz w:val="20"/>
                <w:szCs w:val="20"/>
              </w:rPr>
              <w:t xml:space="preserve">Volume (juta lembar)</w:t>
            </w:r>
          </w:p>
        </w:tc>
        <w:tc>
          <w:tcPr>
            <w:tcW w:w="1700" w:type="dxa"/>
            <w:vAlign w:val="center"/>
          </w:tcPr>
          <w:p>
            <w:pPr>
              <w:spacing w:before="30" w:after="30" w:line="240" w:lineRule="auto"/>
              <w:jc w:val="center"/>
            </w:pPr>
            <w:r>
              <w:rPr>
                <w:sz w:val="20"/>
                <w:szCs w:val="20"/>
              </w:rPr>
              <w:t xml:space="preserve">108,0</w:t>
            </w:r>
          </w:p>
        </w:tc>
        <w:tc>
          <w:tcPr>
            <w:tcW w:w="1700" w:type="dxa"/>
            <w:vAlign w:val="center"/>
          </w:tcPr>
          <w:p>
            <w:pPr>
              <w:spacing w:before="30" w:after="30" w:line="240" w:lineRule="auto"/>
              <w:jc w:val="center"/>
            </w:pPr>
            <w:r>
              <w:rPr>
                <w:sz w:val="20"/>
                <w:szCs w:val="20"/>
              </w:rPr>
              <w:t xml:space="preserve">83,9</w:t>
            </w:r>
          </w:p>
        </w:tc>
        <w:tc>
          <w:tcPr>
            <w:tcW w:w="1700" w:type="dxa"/>
            <w:vAlign w:val="center"/>
          </w:tcPr>
          <w:p>
            <w:pPr>
              <w:spacing w:before="30" w:after="30" w:line="240" w:lineRule="auto"/>
              <w:jc w:val="center"/>
            </w:pPr>
            <w:r>
              <w:rPr>
                <w:sz w:val="20"/>
                <w:szCs w:val="20"/>
              </w:rPr>
              <w:t xml:space="preserve">0</w:t>
            </w:r>
          </w:p>
        </w:tc>
        <w:tc>
          <w:tcPr>
            <w:tcW w:w="1700" w:type="dxa"/>
            <w:vAlign w:val="center"/>
          </w:tcPr>
          <w:p>
            <w:pPr>
              <w:spacing w:before="30" w:after="30" w:line="240" w:lineRule="auto"/>
              <w:jc w:val="center"/>
            </w:pPr>
            <w:r>
              <w:rPr>
                <w:sz w:val="20"/>
                <w:szCs w:val="20"/>
              </w:rPr>
              <w:t xml:space="preserve">1.433,0</w:t>
            </w:r>
          </w:p>
        </w:tc>
      </w:tr>
    </w:tbl>
    <w:p>
      <w:pPr>
        <w:spacing w:before="0" w:after="120" w:line="240" w:lineRule="auto"/>
      </w:pPr>
    </w:p>
    <w:p>
      <w:pPr>
        <w:spacing w:before="0" w:after="160" w:line="300" w:lineRule="auto"/>
        <w:ind w:firstLine="576"/>
        <w:jc w:val="both"/>
      </w:pPr>
      <w:r>
        <w:rPr/>
        <w:t xml:space="preserve">Nilai minimum volume sebesar 0 berasal dari empat baris pada 14, 15, 27, dan 28 Mei 2026. Pada keempat tanggal tersebut harga Open, High, Low, dan Close sama persis, yang menandakan hari libur bursa yang tetap tercatat oleh Yahoo Finance. Keempat baris ini dikeluarkan sehingga data yang dianalisis berjumlah </w:t>
      </w:r>
      <w:r>
        <w:rPr>
          <w:b/>
          <w:bCs/>
        </w:rPr>
        <w:t xml:space="preserve">1.633 hari bursa</w:t>
      </w:r>
      <w:r>
        <w:rPr/>
        <w:t xml:space="preserve">.</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9</w:t>
      </w:r>
      <w:r>
        <w:rPr>
          <w:i/>
          <w:sz w:val="20"/>
        </w:rPr>
        <w:fldChar w:fldCharType="end"/>
      </w:r>
      <w:r>
        <w:rPr>
          <w:i/>
          <w:iCs/>
          <w:sz w:val="20"/>
          <w:szCs w:val="20"/>
        </w:rPr>
        <w:t xml:space="preserve">. Variabel yang dianalisis dan kegunaannya</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2000"/>
        <w:gridCol w:w="2000"/>
        <w:gridCol w:w="5300"/>
      </w:tblGrid>
      <w:tr>
        <w:trPr>
          <w:tblHeader/>
        </w:trPr>
        <w:tc>
          <w:tcPr>
            <w:tcW w:w="2000" w:type="dxa"/>
            <w:shd w:val="clear" w:color="auto" w:fill="D9E2F3"/>
            <w:vAlign w:val="center"/>
          </w:tcPr>
          <w:p>
            <w:pPr>
              <w:keepNext/>
              <w:spacing w:before="30" w:after="30" w:line="240" w:lineRule="auto"/>
              <w:jc w:val="center"/>
            </w:pPr>
            <w:r>
              <w:rPr>
                <w:b/>
                <w:bCs/>
                <w:sz w:val="20"/>
                <w:szCs w:val="20"/>
              </w:rPr>
              <w:t xml:space="preserve">Variabel</w:t>
            </w:r>
          </w:p>
        </w:tc>
        <w:tc>
          <w:tcPr>
            <w:tcW w:w="2000" w:type="dxa"/>
            <w:shd w:val="clear" w:color="auto" w:fill="D9E2F3"/>
            <w:vAlign w:val="center"/>
          </w:tcPr>
          <w:p>
            <w:pPr>
              <w:keepNext/>
              <w:spacing w:before="30" w:after="30" w:line="240" w:lineRule="auto"/>
              <w:jc w:val="center"/>
            </w:pPr>
            <w:r>
              <w:rPr>
                <w:b/>
                <w:bCs/>
                <w:sz w:val="20"/>
                <w:szCs w:val="20"/>
              </w:rPr>
              <w:t xml:space="preserve">Tipe</w:t>
            </w:r>
          </w:p>
        </w:tc>
        <w:tc>
          <w:tcPr>
            <w:tcW w:w="5300" w:type="dxa"/>
            <w:shd w:val="clear" w:color="auto" w:fill="D9E2F3"/>
            <w:vAlign w:val="center"/>
          </w:tcPr>
          <w:p>
            <w:pPr>
              <w:keepNext/>
              <w:spacing w:before="30" w:after="30" w:line="240" w:lineRule="auto"/>
              <w:jc w:val="center"/>
            </w:pPr>
            <w:r>
              <w:rPr>
                <w:b/>
                <w:bCs/>
                <w:sz w:val="20"/>
                <w:szCs w:val="20"/>
              </w:rPr>
              <w:t xml:space="preserve">Kegunaan</w:t>
            </w:r>
          </w:p>
        </w:tc>
      </w:tr>
      <w:tr>
        <w:trPr>
          <w:cantSplit/>
        </w:trPr>
        <w:tc>
          <w:tcPr>
            <w:tcW w:w="2000" w:type="dxa"/>
            <w:vAlign w:val="center"/>
          </w:tcPr>
          <w:p>
            <w:pPr>
              <w:keepNext/>
              <w:spacing w:before="30" w:after="30" w:line="240" w:lineRule="auto"/>
              <w:jc w:val="left"/>
            </w:pPr>
            <w:r>
              <w:rPr>
                <w:sz w:val="20"/>
                <w:szCs w:val="20"/>
              </w:rPr>
              <w:t xml:space="preserve">Date</w:t>
            </w:r>
          </w:p>
        </w:tc>
        <w:tc>
          <w:tcPr>
            <w:tcW w:w="2000" w:type="dxa"/>
            <w:vAlign w:val="center"/>
          </w:tcPr>
          <w:p>
            <w:pPr>
              <w:keepNext/>
              <w:spacing w:before="30" w:after="30" w:line="240" w:lineRule="auto"/>
              <w:jc w:val="center"/>
            </w:pPr>
            <w:r>
              <w:rPr>
                <w:sz w:val="20"/>
                <w:szCs w:val="20"/>
              </w:rPr>
              <w:t xml:space="preserve">Tanggal</w:t>
            </w:r>
          </w:p>
        </w:tc>
        <w:tc>
          <w:tcPr>
            <w:tcW w:w="5300" w:type="dxa"/>
            <w:vAlign w:val="center"/>
          </w:tcPr>
          <w:p>
            <w:pPr>
              <w:keepNext/>
              <w:spacing w:before="30" w:after="30" w:line="240" w:lineRule="auto"/>
              <w:jc w:val="left"/>
            </w:pPr>
            <w:r>
              <w:rPr>
                <w:sz w:val="20"/>
                <w:szCs w:val="20"/>
              </w:rPr>
              <w:t xml:space="preserve">Sumbu waktu; pengelompokan per tahun dan per bulan</w:t>
            </w:r>
          </w:p>
        </w:tc>
      </w:tr>
      <w:tr>
        <w:trPr>
          <w:cantSplit/>
        </w:trPr>
        <w:tc>
          <w:tcPr>
            <w:tcW w:w="2000" w:type="dxa"/>
            <w:vAlign w:val="center"/>
          </w:tcPr>
          <w:p>
            <w:pPr>
              <w:keepNext/>
              <w:spacing w:before="30" w:after="30" w:line="240" w:lineRule="auto"/>
              <w:jc w:val="left"/>
            </w:pPr>
            <w:r>
              <w:rPr>
                <w:sz w:val="20"/>
                <w:szCs w:val="20"/>
              </w:rPr>
              <w:t xml:space="preserve">Open, High, Low</w:t>
            </w:r>
          </w:p>
        </w:tc>
        <w:tc>
          <w:tcPr>
            <w:tcW w:w="2000" w:type="dxa"/>
            <w:vAlign w:val="center"/>
          </w:tcPr>
          <w:p>
            <w:pPr>
              <w:keepNext/>
              <w:spacing w:before="30" w:after="30" w:line="240" w:lineRule="auto"/>
              <w:jc w:val="center"/>
            </w:pPr>
            <w:r>
              <w:rPr>
                <w:sz w:val="20"/>
                <w:szCs w:val="20"/>
              </w:rPr>
              <w:t xml:space="preserve">Numerik (Rp)</w:t>
            </w:r>
          </w:p>
        </w:tc>
        <w:tc>
          <w:tcPr>
            <w:tcW w:w="5300" w:type="dxa"/>
            <w:vAlign w:val="center"/>
          </w:tcPr>
          <w:p>
            <w:pPr>
              <w:keepNext/>
              <w:spacing w:before="30" w:after="30" w:line="240" w:lineRule="auto"/>
              <w:jc w:val="left"/>
            </w:pPr>
            <w:r>
              <w:rPr>
                <w:sz w:val="20"/>
                <w:szCs w:val="20"/>
              </w:rPr>
              <w:t xml:space="preserve">Harga pembukaan, tertinggi, dan terendah harian</w:t>
            </w:r>
          </w:p>
        </w:tc>
      </w:tr>
      <w:tr>
        <w:trPr>
          <w:cantSplit/>
        </w:trPr>
        <w:tc>
          <w:tcPr>
            <w:tcW w:w="2000" w:type="dxa"/>
            <w:vAlign w:val="center"/>
          </w:tcPr>
          <w:p>
            <w:pPr>
              <w:keepNext/>
              <w:spacing w:before="30" w:after="30" w:line="240" w:lineRule="auto"/>
              <w:jc w:val="left"/>
            </w:pPr>
            <w:r>
              <w:rPr>
                <w:sz w:val="20"/>
                <w:szCs w:val="20"/>
              </w:rPr>
              <w:t xml:space="preserve">Close</w:t>
            </w:r>
          </w:p>
        </w:tc>
        <w:tc>
          <w:tcPr>
            <w:tcW w:w="2000" w:type="dxa"/>
            <w:vAlign w:val="center"/>
          </w:tcPr>
          <w:p>
            <w:pPr>
              <w:keepNext/>
              <w:spacing w:before="30" w:after="30" w:line="240" w:lineRule="auto"/>
              <w:jc w:val="center"/>
            </w:pPr>
            <w:r>
              <w:rPr>
                <w:sz w:val="20"/>
                <w:szCs w:val="20"/>
              </w:rPr>
              <w:t xml:space="preserve">Numerik (Rp)</w:t>
            </w:r>
          </w:p>
        </w:tc>
        <w:tc>
          <w:tcPr>
            <w:tcW w:w="5300" w:type="dxa"/>
            <w:vAlign w:val="center"/>
          </w:tcPr>
          <w:p>
            <w:pPr>
              <w:keepNext/>
              <w:spacing w:before="30" w:after="30" w:line="240" w:lineRule="auto"/>
              <w:jc w:val="left"/>
            </w:pPr>
            <w:r>
              <w:rPr>
                <w:sz w:val="20"/>
                <w:szCs w:val="20"/>
              </w:rPr>
              <w:t xml:space="preserve">Dasar tren harga, return, rata-rata bergerak, dan drawdown</w:t>
            </w:r>
          </w:p>
        </w:tc>
      </w:tr>
      <w:tr>
        <w:trPr>
          <w:cantSplit/>
        </w:trPr>
        <w:tc>
          <w:tcPr>
            <w:tcW w:w="2000" w:type="dxa"/>
            <w:vAlign w:val="center"/>
          </w:tcPr>
          <w:p>
            <w:pPr>
              <w:keepNext/>
              <w:spacing w:before="30" w:after="30" w:line="240" w:lineRule="auto"/>
              <w:jc w:val="left"/>
            </w:pPr>
            <w:r>
              <w:rPr>
                <w:sz w:val="20"/>
                <w:szCs w:val="20"/>
              </w:rPr>
              <w:t xml:space="preserve">Volume</w:t>
            </w:r>
          </w:p>
        </w:tc>
        <w:tc>
          <w:tcPr>
            <w:tcW w:w="2000" w:type="dxa"/>
            <w:vAlign w:val="center"/>
          </w:tcPr>
          <w:p>
            <w:pPr>
              <w:keepNext/>
              <w:spacing w:before="30" w:after="30" w:line="240" w:lineRule="auto"/>
              <w:jc w:val="center"/>
            </w:pPr>
            <w:r>
              <w:rPr>
                <w:sz w:val="20"/>
                <w:szCs w:val="20"/>
              </w:rPr>
              <w:t xml:space="preserve">Numerik (lembar)</w:t>
            </w:r>
          </w:p>
        </w:tc>
        <w:tc>
          <w:tcPr>
            <w:tcW w:w="5300" w:type="dxa"/>
            <w:vAlign w:val="center"/>
          </w:tcPr>
          <w:p>
            <w:pPr>
              <w:keepNext/>
              <w:spacing w:before="30" w:after="30" w:line="240" w:lineRule="auto"/>
              <w:jc w:val="left"/>
            </w:pPr>
            <w:r>
              <w:rPr>
                <w:sz w:val="20"/>
                <w:szCs w:val="20"/>
              </w:rPr>
              <w:t xml:space="preserve">Ukuran aktivitas perdagangan</w:t>
            </w:r>
          </w:p>
        </w:tc>
      </w:tr>
      <w:tr>
        <w:trPr>
          <w:cantSplit/>
        </w:trPr>
        <w:tc>
          <w:tcPr>
            <w:tcW w:w="2000" w:type="dxa"/>
            <w:vAlign w:val="center"/>
          </w:tcPr>
          <w:p>
            <w:pPr>
              <w:keepNext/>
              <w:spacing w:before="30" w:after="30" w:line="240" w:lineRule="auto"/>
              <w:jc w:val="left"/>
            </w:pPr>
            <w:r>
              <w:rPr>
                <w:sz w:val="20"/>
                <w:szCs w:val="20"/>
              </w:rPr>
              <w:t xml:space="preserve">Return harian (%)</w:t>
            </w:r>
          </w:p>
        </w:tc>
        <w:tc>
          <w:tcPr>
            <w:tcW w:w="2000" w:type="dxa"/>
            <w:vAlign w:val="center"/>
          </w:tcPr>
          <w:p>
            <w:pPr>
              <w:keepNext/>
              <w:spacing w:before="30" w:after="30" w:line="240" w:lineRule="auto"/>
              <w:jc w:val="center"/>
            </w:pPr>
            <w:r>
              <w:rPr>
                <w:sz w:val="20"/>
                <w:szCs w:val="20"/>
              </w:rPr>
              <w:t xml:space="preserve">Turunan</w:t>
            </w:r>
          </w:p>
        </w:tc>
        <w:tc>
          <w:tcPr>
            <w:tcW w:w="5300" w:type="dxa"/>
            <w:vAlign w:val="center"/>
          </w:tcPr>
          <w:p>
            <w:pPr>
              <w:keepNext/>
              <w:spacing w:before="30" w:after="30" w:line="240" w:lineRule="auto"/>
              <w:jc w:val="left"/>
            </w:pPr>
            <w:r>
              <w:rPr>
                <w:sz w:val="20"/>
                <w:szCs w:val="20"/>
              </w:rPr>
              <w:t xml:space="preserve">Persentase perubahan Close dari hari sebelumnya</w:t>
            </w:r>
          </w:p>
        </w:tc>
      </w:tr>
      <w:tr>
        <w:trPr>
          <w:cantSplit/>
        </w:trPr>
        <w:tc>
          <w:tcPr>
            <w:tcW w:w="2000" w:type="dxa"/>
            <w:vAlign w:val="center"/>
          </w:tcPr>
          <w:p>
            <w:pPr>
              <w:keepNext/>
              <w:spacing w:before="30" w:after="30" w:line="240" w:lineRule="auto"/>
              <w:jc w:val="left"/>
            </w:pPr>
            <w:r>
              <w:rPr>
                <w:sz w:val="20"/>
                <w:szCs w:val="20"/>
              </w:rPr>
              <w:t xml:space="preserve">MA50, MA200</w:t>
            </w:r>
          </w:p>
        </w:tc>
        <w:tc>
          <w:tcPr>
            <w:tcW w:w="2000" w:type="dxa"/>
            <w:vAlign w:val="center"/>
          </w:tcPr>
          <w:p>
            <w:pPr>
              <w:keepNext/>
              <w:spacing w:before="30" w:after="30" w:line="240" w:lineRule="auto"/>
              <w:jc w:val="center"/>
            </w:pPr>
            <w:r>
              <w:rPr>
                <w:sz w:val="20"/>
                <w:szCs w:val="20"/>
              </w:rPr>
              <w:t xml:space="preserve">Turunan</w:t>
            </w:r>
          </w:p>
        </w:tc>
        <w:tc>
          <w:tcPr>
            <w:tcW w:w="5300" w:type="dxa"/>
            <w:vAlign w:val="center"/>
          </w:tcPr>
          <w:p>
            <w:pPr>
              <w:keepNext/>
              <w:spacing w:before="30" w:after="30" w:line="240" w:lineRule="auto"/>
              <w:jc w:val="left"/>
            </w:pPr>
            <w:r>
              <w:rPr>
                <w:sz w:val="20"/>
                <w:szCs w:val="20"/>
              </w:rPr>
              <w:t xml:space="preserve">Rata-rata bergerak 50 dan 200 hari bursa sebagai penanda tren</w:t>
            </w:r>
          </w:p>
        </w:tc>
      </w:tr>
      <w:tr>
        <w:trPr>
          <w:cantSplit/>
        </w:trPr>
        <w:tc>
          <w:tcPr>
            <w:tcW w:w="2000" w:type="dxa"/>
            <w:vAlign w:val="center"/>
          </w:tcPr>
          <w:p>
            <w:pPr>
              <w:spacing w:before="30" w:after="30" w:line="240" w:lineRule="auto"/>
              <w:jc w:val="left"/>
            </w:pPr>
            <w:r>
              <w:rPr>
                <w:sz w:val="20"/>
                <w:szCs w:val="20"/>
              </w:rPr>
              <w:t xml:space="preserve">Volatilitas, Drawdown</w:t>
            </w:r>
          </w:p>
        </w:tc>
        <w:tc>
          <w:tcPr>
            <w:tcW w:w="2000" w:type="dxa"/>
            <w:vAlign w:val="center"/>
          </w:tcPr>
          <w:p>
            <w:pPr>
              <w:spacing w:before="30" w:after="30" w:line="240" w:lineRule="auto"/>
              <w:jc w:val="center"/>
            </w:pPr>
            <w:r>
              <w:rPr>
                <w:sz w:val="20"/>
                <w:szCs w:val="20"/>
              </w:rPr>
              <w:t xml:space="preserve">Turunan</w:t>
            </w:r>
          </w:p>
        </w:tc>
        <w:tc>
          <w:tcPr>
            <w:tcW w:w="5300" w:type="dxa"/>
            <w:vAlign w:val="center"/>
          </w:tcPr>
          <w:p>
            <w:pPr>
              <w:spacing w:before="30" w:after="30" w:line="240" w:lineRule="auto"/>
              <w:jc w:val="left"/>
            </w:pPr>
            <w:r>
              <w:rPr>
                <w:sz w:val="20"/>
                <w:szCs w:val="20"/>
              </w:rPr>
              <w:t xml:space="preserve">Ukuran risiko: simpangan return (disetahunkan) dan penurunan dari puncak</w:t>
            </w:r>
          </w:p>
        </w:tc>
      </w:tr>
    </w:tbl>
    <w:p>
      <w:pPr>
        <w:spacing w:before="0" w:after="120" w:line="240" w:lineRule="auto"/>
      </w:pPr>
    </w:p>
    <w:p>
      <w:pPr>
        <w:spacing w:before="0" w:after="160" w:line="300" w:lineRule="auto"/>
        <w:ind w:firstLine="576"/>
        <w:jc w:val="both"/>
      </w:pPr>
      <w:r>
        <w:rPr/>
        <w:t xml:space="preserve">Return harian dihitung dengan rumus berikut, sedangkan volatilitas tahunan diperoleh dari simpangan baku return harian dikalikan √252 (perkiraan jumlah hari bursa dalam setahun).</w:t>
      </w:r>
    </w:p>
    <w:p>
      <w:pPr>
        <w:spacing w:before="60" w:after="160"/>
        <w:jc w:val="center"/>
      </w:pPr>
      <w:r>
        <w:rPr/>
        <w:t xml:space="preserve">Return harian (%) = (Close hari ini − Close kemarin) / Close kemarin × 100%</w:t>
      </w:r>
    </w:p>
    <w:p>
      <w:pPr>
        <w:keepNext/>
        <w:spacing w:before="200" w:after="120"/>
        <w:outlineLvl w:val="1"/>
      </w:pPr>
      <w:r>
        <w:rPr>
          <w:b/>
          <w:bCs/>
        </w:rPr>
        <w:t xml:space="preserve">8.3 Visualisasi 1: Tren Harga dan Rata-rata Bergerak</w:t>
      </w:r>
    </w:p>
    <w:p>
      <w:pPr>
        <w:spacing w:before="0" w:after="160" w:line="300" w:lineRule="auto"/>
        <w:ind w:firstLine="576"/>
        <w:jc w:val="both"/>
      </w:pPr>
      <w:r>
        <w:rPr/>
        <w:t xml:space="preserve">Line chart dipilih karena data tersusun menurut waktu. Garis MA50 dan MA200 ditambahkan untuk membaca arah tren di balik fluktuasi harian.</w:t>
      </w:r>
    </w:p>
    <w:p>
      <w:pPr>
        <w:keepNext/>
        <w:spacing w:before="120" w:after="0"/>
        <w:jc w:val="center"/>
      </w:pPr>
      <w:r>
        <w:drawing>
          <wp:inline distT="0" distB="0" distL="0" distR="0">
            <wp:extent cx="5832000" cy="2651322"/>
            <wp:docPr id="205" name="Gambar 5"/>
            <wp:cNvGraphicFramePr>
              <a:graphicFrameLocks noChangeAspect="1"/>
            </wp:cNvGraphicFramePr>
            <a:graphic>
              <a:graphicData uri="http://schemas.openxmlformats.org/drawingml/2006/picture">
                <pic:pic>
                  <pic:nvPicPr>
                    <pic:cNvPr id="205" name="img5.png"/>
                    <pic:cNvPicPr/>
                  </pic:nvPicPr>
                  <pic:blipFill>
                    <a:blip r:embed="rIdImg5"/>
                    <a:stretch>
                      <a:fillRect/>
                    </a:stretch>
                  </pic:blipFill>
                  <pic:spPr>
                    <a:xfrm>
                      <a:off x="0" y="0"/>
                      <a:ext cx="5832000" cy="2651322"/>
                    </a:xfrm>
                    <a:prstGeom prst="rect">
                      <a:avLst/>
                    </a:prstGeom>
                  </pic:spPr>
                </pic:pic>
              </a:graphicData>
            </a:graphic>
          </wp:inline>
        </w:drawing>
      </w:r>
    </w:p>
    <w:p>
      <w:pPr>
        <w:spacing w:before="60" w:after="220"/>
        <w:jc w:val="center"/>
      </w:pPr>
      <w:r>
        <w:rPr>
          <w:i/>
          <w:iCs/>
          <w:sz w:val="20"/>
          <w:szCs w:val="20"/>
        </w:rPr>
        <w:t xml:space="preserve">Gambar </w:t>
      </w:r>
      <w:r>
        <w:rPr>
          <w:i/>
          <w:sz w:val="20"/>
        </w:rPr>
        <w:fldChar w:fldCharType="begin"/>
      </w:r>
      <w:r>
        <w:rPr>
          <w:i/>
          <w:sz w:val="20"/>
        </w:rPr>
        <w:instrText xml:space="preserve"> SEQ Gambar \* ARABIC </w:instrText>
      </w:r>
      <w:r>
        <w:rPr>
          <w:i/>
          <w:sz w:val="20"/>
        </w:rPr>
        <w:fldChar w:fldCharType="separate"/>
      </w:r>
      <w:r>
        <w:rPr>
          <w:i/>
          <w:iCs/>
          <w:sz w:val="20"/>
          <w:szCs w:val="20"/>
        </w:rPr>
        <w:t>5</w:t>
      </w:r>
      <w:r>
        <w:rPr>
          <w:i/>
          <w:sz w:val="20"/>
        </w:rPr>
        <w:fldChar w:fldCharType="end"/>
      </w:r>
      <w:r>
        <w:rPr>
          <w:i/>
          <w:iCs/>
          <w:sz w:val="20"/>
          <w:szCs w:val="20"/>
        </w:rPr>
        <w:t xml:space="preserve">. Harga penutupan saham BBCA dan rata-rata bergerak, 2020–2026</w:t>
      </w:r>
    </w:p>
    <w:p>
      <w:pPr>
        <w:spacing w:before="0" w:after="160" w:line="300" w:lineRule="auto"/>
        <w:ind w:firstLine="576"/>
        <w:jc w:val="both"/>
      </w:pPr>
      <w:r>
        <w:rPr>
          <w:b/>
          <w:bCs/>
        </w:rPr>
        <w:t xml:space="preserve">Interpretasi.</w:t>
      </w:r>
      <w:r>
        <w:rPr/>
        <w:t xml:space="preserve"> Harga terendah selama periode pengamatan tercatat pada </w:t>
      </w:r>
      <w:r>
        <w:rPr>
          <w:b/>
          <w:bCs/>
        </w:rPr>
        <w:t xml:space="preserve">23 Maret 2020</w:t>
      </w:r>
      <w:r>
        <w:rPr/>
        <w:t xml:space="preserve"> sebesar Rp4.430, saat awal pandemi, ketika harga turun 35,6% dari puncak sebelumnya hanya dalam beberapa minggu. Setelah itu harga naik bertahap selama lebih dari empat tahun hingga mencapai titik tertinggi </w:t>
      </w:r>
      <w:r>
        <w:rPr>
          <w:b/>
          <w:bCs/>
        </w:rPr>
        <w:t xml:space="preserve">Rp10.950 pada 23 September 2024</w:t>
      </w:r>
      <w:r>
        <w:rPr/>
        <w:t xml:space="preserve">. Sepanjang 2021–2024, harga sebagian besar berada di atas garis MA200 yang terus menanjak, ciri tren naik jangka panjang.</w:t>
      </w:r>
    </w:p>
    <w:p>
      <w:pPr>
        <w:spacing w:before="0" w:after="160" w:line="300" w:lineRule="auto"/>
        <w:ind w:firstLine="576"/>
        <w:jc w:val="both"/>
      </w:pPr>
      <w:r>
        <w:rPr/>
        <w:t xml:space="preserve">Arah tersebut berbalik sejak akhir 2024. Pada 13 Januari 2025 MA50 memotong ke bawah MA200 dan sejak saat itu belum pernah kembali ke atasnya, sedangkan sejak 7 November 2025 harga penutupan tidak pernah lagi berada di atas MA200. Penurunan paling tajam terjadi pada Oktober 2026: harga sempat mencapai Rp4.820 pada 19 Oktober 2026, atau </w:t>
      </w:r>
      <w:r>
        <w:rPr>
          <w:b/>
          <w:bCs/>
        </w:rPr>
        <w:t xml:space="preserve">56,0% di bawah puncaknya</w:t>
      </w:r>
      <w:r>
        <w:rPr/>
        <w:t xml:space="preserve">, sebelum ditutup Rp5.275 pada 28 Oktober 2026. Harga akhir tersebut 21,2% lebih rendah daripada harga awal 2 Januari 2020 (Rp6.690) dan 20,1% di bawah MA200.</w:t>
      </w:r>
    </w:p>
    <w:p>
      <w:pPr>
        <w:keepNext/>
        <w:spacing w:before="200" w:after="120"/>
        <w:outlineLvl w:val="1"/>
      </w:pPr>
      <w:r>
        <w:rPr>
          <w:b/>
          <w:bCs/>
        </w:rPr>
        <w:t xml:space="preserve">8.4 Visualisasi 2: Return Tahunan</w:t>
      </w:r>
    </w:p>
    <w:p>
      <w:pPr>
        <w:spacing w:before="0" w:after="160" w:line="300" w:lineRule="auto"/>
        <w:ind w:firstLine="576"/>
        <w:jc w:val="both"/>
      </w:pPr>
      <w:r>
        <w:rPr/>
        <w:t xml:space="preserve">Bar chart membandingkan return setiap tahun. Return dihitung dari harga penutupan akhir tahun sebelumnya ke akhir tahun berjalan; tahun 2026 hanya sampai 28 Oktober.</w:t>
      </w:r>
    </w:p>
    <w:p>
      <w:pPr>
        <w:keepNext/>
        <w:spacing w:before="120" w:after="0"/>
        <w:jc w:val="center"/>
      </w:pPr>
      <w:r>
        <w:drawing>
          <wp:inline distT="0" distB="0" distL="0" distR="0">
            <wp:extent cx="5040000" cy="2732560"/>
            <wp:docPr id="206" name="Gambar 6"/>
            <wp:cNvGraphicFramePr>
              <a:graphicFrameLocks noChangeAspect="1"/>
            </wp:cNvGraphicFramePr>
            <a:graphic>
              <a:graphicData uri="http://schemas.openxmlformats.org/drawingml/2006/picture">
                <pic:pic>
                  <pic:nvPicPr>
                    <pic:cNvPr id="206" name="img6.png"/>
                    <pic:cNvPicPr/>
                  </pic:nvPicPr>
                  <pic:blipFill>
                    <a:blip r:embed="rIdImg6"/>
                    <a:stretch>
                      <a:fillRect/>
                    </a:stretch>
                  </pic:blipFill>
                  <pic:spPr>
                    <a:xfrm>
                      <a:off x="0" y="0"/>
                      <a:ext cx="5040000" cy="2732560"/>
                    </a:xfrm>
                    <a:prstGeom prst="rect">
                      <a:avLst/>
                    </a:prstGeom>
                  </pic:spPr>
                </pic:pic>
              </a:graphicData>
            </a:graphic>
          </wp:inline>
        </w:drawing>
      </w:r>
    </w:p>
    <w:p>
      <w:pPr>
        <w:spacing w:before="60" w:after="220"/>
        <w:jc w:val="center"/>
      </w:pPr>
      <w:r>
        <w:rPr>
          <w:i/>
          <w:iCs/>
          <w:sz w:val="20"/>
          <w:szCs w:val="20"/>
        </w:rPr>
        <w:t xml:space="preserve">Gambar </w:t>
      </w:r>
      <w:r>
        <w:rPr>
          <w:i/>
          <w:sz w:val="20"/>
        </w:rPr>
        <w:fldChar w:fldCharType="begin"/>
      </w:r>
      <w:r>
        <w:rPr>
          <w:i/>
          <w:sz w:val="20"/>
        </w:rPr>
        <w:instrText xml:space="preserve"> SEQ Gambar \* ARABIC </w:instrText>
      </w:r>
      <w:r>
        <w:rPr>
          <w:i/>
          <w:sz w:val="20"/>
        </w:rPr>
        <w:fldChar w:fldCharType="separate"/>
      </w:r>
      <w:r>
        <w:rPr>
          <w:i/>
          <w:iCs/>
          <w:sz w:val="20"/>
          <w:szCs w:val="20"/>
        </w:rPr>
        <w:t>6</w:t>
      </w:r>
      <w:r>
        <w:rPr>
          <w:i/>
          <w:sz w:val="20"/>
        </w:rPr>
        <w:fldChar w:fldCharType="end"/>
      </w:r>
      <w:r>
        <w:rPr>
          <w:i/>
          <w:iCs/>
          <w:sz w:val="20"/>
          <w:szCs w:val="20"/>
        </w:rPr>
        <w:t xml:space="preserve">. Return tahunan saham BBCA</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10</w:t>
      </w:r>
      <w:r>
        <w:rPr>
          <w:i/>
          <w:sz w:val="20"/>
        </w:rPr>
        <w:fldChar w:fldCharType="end"/>
      </w:r>
      <w:r>
        <w:rPr>
          <w:i/>
          <w:iCs/>
          <w:sz w:val="20"/>
          <w:szCs w:val="20"/>
        </w:rPr>
        <w:t xml:space="preserve">. Ringkasan kinerja tahunan saham BBCA</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1100"/>
        <w:gridCol w:w="1500"/>
        <w:gridCol w:w="1500"/>
        <w:gridCol w:w="1500"/>
        <w:gridCol w:w="1500"/>
        <w:gridCol w:w="1300"/>
        <w:gridCol w:w="1600"/>
      </w:tblGrid>
      <w:tr>
        <w:trPr>
          <w:tblHeader/>
        </w:trPr>
        <w:tc>
          <w:tcPr>
            <w:tcW w:w="1100" w:type="dxa"/>
            <w:shd w:val="clear" w:color="auto" w:fill="D9E2F3"/>
            <w:vAlign w:val="center"/>
          </w:tcPr>
          <w:p>
            <w:pPr>
              <w:keepNext/>
              <w:spacing w:before="30" w:after="30" w:line="240" w:lineRule="auto"/>
              <w:jc w:val="center"/>
            </w:pPr>
            <w:r>
              <w:rPr>
                <w:b/>
                <w:bCs/>
                <w:sz w:val="20"/>
                <w:szCs w:val="20"/>
              </w:rPr>
              <w:t xml:space="preserve">Tahun</w:t>
            </w:r>
          </w:p>
        </w:tc>
        <w:tc>
          <w:tcPr>
            <w:tcW w:w="1500" w:type="dxa"/>
            <w:shd w:val="clear" w:color="auto" w:fill="D9E2F3"/>
            <w:vAlign w:val="center"/>
          </w:tcPr>
          <w:p>
            <w:pPr>
              <w:keepNext/>
              <w:spacing w:before="30" w:after="30" w:line="240" w:lineRule="auto"/>
              <w:jc w:val="center"/>
            </w:pPr>
            <w:r>
              <w:rPr>
                <w:b/>
                <w:bCs/>
                <w:sz w:val="20"/>
                <w:szCs w:val="20"/>
              </w:rPr>
              <w:t xml:space="preserve">Close Awal (Rp)</w:t>
            </w:r>
          </w:p>
        </w:tc>
        <w:tc>
          <w:tcPr>
            <w:tcW w:w="1500" w:type="dxa"/>
            <w:shd w:val="clear" w:color="auto" w:fill="D9E2F3"/>
            <w:vAlign w:val="center"/>
          </w:tcPr>
          <w:p>
            <w:pPr>
              <w:keepNext/>
              <w:spacing w:before="30" w:after="30" w:line="240" w:lineRule="auto"/>
              <w:jc w:val="center"/>
            </w:pPr>
            <w:r>
              <w:rPr>
                <w:b/>
                <w:bCs/>
                <w:sz w:val="20"/>
                <w:szCs w:val="20"/>
              </w:rPr>
              <w:t xml:space="preserve">Close Akhir (Rp)</w:t>
            </w:r>
          </w:p>
        </w:tc>
        <w:tc>
          <w:tcPr>
            <w:tcW w:w="1500" w:type="dxa"/>
            <w:shd w:val="clear" w:color="auto" w:fill="D9E2F3"/>
            <w:vAlign w:val="center"/>
          </w:tcPr>
          <w:p>
            <w:pPr>
              <w:keepNext/>
              <w:spacing w:before="30" w:after="30" w:line="240" w:lineRule="auto"/>
              <w:jc w:val="center"/>
            </w:pPr>
            <w:r>
              <w:rPr>
                <w:b/>
                <w:bCs/>
                <w:sz w:val="20"/>
                <w:szCs w:val="20"/>
              </w:rPr>
              <w:t xml:space="preserve">Return (%)</w:t>
            </w:r>
          </w:p>
        </w:tc>
        <w:tc>
          <w:tcPr>
            <w:tcW w:w="1500" w:type="dxa"/>
            <w:shd w:val="clear" w:color="auto" w:fill="D9E2F3"/>
            <w:vAlign w:val="center"/>
          </w:tcPr>
          <w:p>
            <w:pPr>
              <w:keepNext/>
              <w:spacing w:before="30" w:after="30" w:line="240" w:lineRule="auto"/>
              <w:jc w:val="center"/>
            </w:pPr>
            <w:r>
              <w:rPr>
                <w:b/>
                <w:bCs/>
                <w:sz w:val="20"/>
                <w:szCs w:val="20"/>
              </w:rPr>
              <w:t xml:space="preserve">Tertinggi (Rp)</w:t>
            </w:r>
          </w:p>
        </w:tc>
        <w:tc>
          <w:tcPr>
            <w:tcW w:w="1300" w:type="dxa"/>
            <w:shd w:val="clear" w:color="auto" w:fill="D9E2F3"/>
            <w:vAlign w:val="center"/>
          </w:tcPr>
          <w:p>
            <w:pPr>
              <w:keepNext/>
              <w:spacing w:before="30" w:after="30" w:line="240" w:lineRule="auto"/>
              <w:jc w:val="center"/>
            </w:pPr>
            <w:r>
              <w:rPr>
                <w:b/>
                <w:bCs/>
                <w:sz w:val="20"/>
                <w:szCs w:val="20"/>
              </w:rPr>
              <w:t xml:space="preserve">Volatilitas (%)</w:t>
            </w:r>
          </w:p>
        </w:tc>
        <w:tc>
          <w:tcPr>
            <w:tcW w:w="1600" w:type="dxa"/>
            <w:shd w:val="clear" w:color="auto" w:fill="D9E2F3"/>
            <w:vAlign w:val="center"/>
          </w:tcPr>
          <w:p>
            <w:pPr>
              <w:keepNext/>
              <w:spacing w:before="30" w:after="30" w:line="240" w:lineRule="auto"/>
              <w:jc w:val="center"/>
            </w:pPr>
            <w:r>
              <w:rPr>
                <w:b/>
                <w:bCs/>
                <w:sz w:val="20"/>
                <w:szCs w:val="20"/>
              </w:rPr>
              <w:t xml:space="preserve">Rata-rata Volume (juta)</w:t>
            </w:r>
          </w:p>
        </w:tc>
      </w:tr>
      <w:tr>
        <w:trPr>
          <w:cantSplit/>
        </w:trPr>
        <w:tc>
          <w:tcPr>
            <w:tcW w:w="1100" w:type="dxa"/>
            <w:vAlign w:val="center"/>
          </w:tcPr>
          <w:p>
            <w:pPr>
              <w:keepNext/>
              <w:spacing w:before="30" w:after="30" w:line="240" w:lineRule="auto"/>
              <w:jc w:val="center"/>
            </w:pPr>
            <w:r>
              <w:rPr>
                <w:sz w:val="20"/>
                <w:szCs w:val="20"/>
              </w:rPr>
              <w:t xml:space="preserve">2020</w:t>
            </w:r>
          </w:p>
        </w:tc>
        <w:tc>
          <w:tcPr>
            <w:tcW w:w="1500" w:type="dxa"/>
            <w:vAlign w:val="center"/>
          </w:tcPr>
          <w:p>
            <w:pPr>
              <w:keepNext/>
              <w:spacing w:before="30" w:after="30" w:line="240" w:lineRule="auto"/>
              <w:jc w:val="center"/>
            </w:pPr>
            <w:r>
              <w:rPr>
                <w:sz w:val="20"/>
                <w:szCs w:val="20"/>
              </w:rPr>
              <w:t xml:space="preserve">6.690</w:t>
            </w:r>
          </w:p>
        </w:tc>
        <w:tc>
          <w:tcPr>
            <w:tcW w:w="1500" w:type="dxa"/>
            <w:vAlign w:val="center"/>
          </w:tcPr>
          <w:p>
            <w:pPr>
              <w:keepNext/>
              <w:spacing w:before="30" w:after="30" w:line="240" w:lineRule="auto"/>
              <w:jc w:val="center"/>
            </w:pPr>
            <w:r>
              <w:rPr>
                <w:sz w:val="20"/>
                <w:szCs w:val="20"/>
              </w:rPr>
              <w:t xml:space="preserve">6.770</w:t>
            </w:r>
          </w:p>
        </w:tc>
        <w:tc>
          <w:tcPr>
            <w:tcW w:w="1500" w:type="dxa"/>
            <w:vAlign w:val="center"/>
          </w:tcPr>
          <w:p>
            <w:pPr>
              <w:keepNext/>
              <w:spacing w:before="30" w:after="30" w:line="240" w:lineRule="auto"/>
              <w:jc w:val="center"/>
            </w:pPr>
            <w:r>
              <w:rPr>
                <w:sz w:val="20"/>
                <w:szCs w:val="20"/>
              </w:rPr>
              <w:t xml:space="preserve">+1,2</w:t>
            </w:r>
          </w:p>
        </w:tc>
        <w:tc>
          <w:tcPr>
            <w:tcW w:w="1500" w:type="dxa"/>
            <w:vAlign w:val="center"/>
          </w:tcPr>
          <w:p>
            <w:pPr>
              <w:keepNext/>
              <w:spacing w:before="30" w:after="30" w:line="240" w:lineRule="auto"/>
              <w:jc w:val="center"/>
            </w:pPr>
            <w:r>
              <w:rPr>
                <w:sz w:val="20"/>
                <w:szCs w:val="20"/>
              </w:rPr>
              <w:t xml:space="preserve">6.950</w:t>
            </w:r>
          </w:p>
        </w:tc>
        <w:tc>
          <w:tcPr>
            <w:tcW w:w="1300" w:type="dxa"/>
            <w:vAlign w:val="center"/>
          </w:tcPr>
          <w:p>
            <w:pPr>
              <w:keepNext/>
              <w:spacing w:before="30" w:after="30" w:line="240" w:lineRule="auto"/>
              <w:jc w:val="center"/>
            </w:pPr>
            <w:r>
              <w:rPr>
                <w:sz w:val="20"/>
                <w:szCs w:val="20"/>
              </w:rPr>
              <w:t xml:space="preserve">38,4</w:t>
            </w:r>
          </w:p>
        </w:tc>
        <w:tc>
          <w:tcPr>
            <w:tcW w:w="1600" w:type="dxa"/>
            <w:vAlign w:val="center"/>
          </w:tcPr>
          <w:p>
            <w:pPr>
              <w:keepNext/>
              <w:spacing w:before="30" w:after="30" w:line="240" w:lineRule="auto"/>
              <w:jc w:val="center"/>
            </w:pPr>
            <w:r>
              <w:rPr>
                <w:sz w:val="20"/>
                <w:szCs w:val="20"/>
              </w:rPr>
              <w:t xml:space="preserve">107,4</w:t>
            </w:r>
          </w:p>
        </w:tc>
      </w:tr>
      <w:tr>
        <w:trPr>
          <w:cantSplit/>
        </w:trPr>
        <w:tc>
          <w:tcPr>
            <w:tcW w:w="1100" w:type="dxa"/>
            <w:vAlign w:val="center"/>
          </w:tcPr>
          <w:p>
            <w:pPr>
              <w:keepNext/>
              <w:spacing w:before="30" w:after="30" w:line="240" w:lineRule="auto"/>
              <w:jc w:val="center"/>
            </w:pPr>
            <w:r>
              <w:rPr>
                <w:sz w:val="20"/>
                <w:szCs w:val="20"/>
              </w:rPr>
              <w:t xml:space="preserve">2021</w:t>
            </w:r>
          </w:p>
        </w:tc>
        <w:tc>
          <w:tcPr>
            <w:tcW w:w="1500" w:type="dxa"/>
            <w:vAlign w:val="center"/>
          </w:tcPr>
          <w:p>
            <w:pPr>
              <w:keepNext/>
              <w:spacing w:before="30" w:after="30" w:line="240" w:lineRule="auto"/>
              <w:jc w:val="center"/>
            </w:pPr>
            <w:r>
              <w:rPr>
                <w:sz w:val="20"/>
                <w:szCs w:val="20"/>
              </w:rPr>
              <w:t xml:space="preserve">6.770</w:t>
            </w:r>
          </w:p>
        </w:tc>
        <w:tc>
          <w:tcPr>
            <w:tcW w:w="1500" w:type="dxa"/>
            <w:vAlign w:val="center"/>
          </w:tcPr>
          <w:p>
            <w:pPr>
              <w:keepNext/>
              <w:spacing w:before="30" w:after="30" w:line="240" w:lineRule="auto"/>
              <w:jc w:val="center"/>
            </w:pPr>
            <w:r>
              <w:rPr>
                <w:sz w:val="20"/>
                <w:szCs w:val="20"/>
              </w:rPr>
              <w:t xml:space="preserve">7.300</w:t>
            </w:r>
          </w:p>
        </w:tc>
        <w:tc>
          <w:tcPr>
            <w:tcW w:w="1500" w:type="dxa"/>
            <w:vAlign w:val="center"/>
          </w:tcPr>
          <w:p>
            <w:pPr>
              <w:keepNext/>
              <w:spacing w:before="30" w:after="30" w:line="240" w:lineRule="auto"/>
              <w:jc w:val="center"/>
            </w:pPr>
            <w:r>
              <w:rPr>
                <w:sz w:val="20"/>
                <w:szCs w:val="20"/>
              </w:rPr>
              <w:t xml:space="preserve">+7,8</w:t>
            </w:r>
          </w:p>
        </w:tc>
        <w:tc>
          <w:tcPr>
            <w:tcW w:w="1500" w:type="dxa"/>
            <w:vAlign w:val="center"/>
          </w:tcPr>
          <w:p>
            <w:pPr>
              <w:keepNext/>
              <w:spacing w:before="30" w:after="30" w:line="240" w:lineRule="auto"/>
              <w:jc w:val="center"/>
            </w:pPr>
            <w:r>
              <w:rPr>
                <w:sz w:val="20"/>
                <w:szCs w:val="20"/>
              </w:rPr>
              <w:t xml:space="preserve">7.750</w:t>
            </w:r>
          </w:p>
        </w:tc>
        <w:tc>
          <w:tcPr>
            <w:tcW w:w="1300" w:type="dxa"/>
            <w:vAlign w:val="center"/>
          </w:tcPr>
          <w:p>
            <w:pPr>
              <w:keepNext/>
              <w:spacing w:before="30" w:after="30" w:line="240" w:lineRule="auto"/>
              <w:jc w:val="center"/>
            </w:pPr>
            <w:r>
              <w:rPr>
                <w:sz w:val="20"/>
                <w:szCs w:val="20"/>
              </w:rPr>
              <w:t xml:space="preserve">23,2</w:t>
            </w:r>
          </w:p>
        </w:tc>
        <w:tc>
          <w:tcPr>
            <w:tcW w:w="1600" w:type="dxa"/>
            <w:vAlign w:val="center"/>
          </w:tcPr>
          <w:p>
            <w:pPr>
              <w:keepNext/>
              <w:spacing w:before="30" w:after="30" w:line="240" w:lineRule="auto"/>
              <w:jc w:val="center"/>
            </w:pPr>
            <w:r>
              <w:rPr>
                <w:sz w:val="20"/>
                <w:szCs w:val="20"/>
              </w:rPr>
              <w:t xml:space="preserve">81,6</w:t>
            </w:r>
          </w:p>
        </w:tc>
      </w:tr>
      <w:tr>
        <w:trPr>
          <w:cantSplit/>
        </w:trPr>
        <w:tc>
          <w:tcPr>
            <w:tcW w:w="1100" w:type="dxa"/>
            <w:vAlign w:val="center"/>
          </w:tcPr>
          <w:p>
            <w:pPr>
              <w:keepNext/>
              <w:spacing w:before="30" w:after="30" w:line="240" w:lineRule="auto"/>
              <w:jc w:val="center"/>
            </w:pPr>
            <w:r>
              <w:rPr>
                <w:sz w:val="20"/>
                <w:szCs w:val="20"/>
              </w:rPr>
              <w:t xml:space="preserve">2022</w:t>
            </w:r>
          </w:p>
        </w:tc>
        <w:tc>
          <w:tcPr>
            <w:tcW w:w="1500" w:type="dxa"/>
            <w:vAlign w:val="center"/>
          </w:tcPr>
          <w:p>
            <w:pPr>
              <w:keepNext/>
              <w:spacing w:before="30" w:after="30" w:line="240" w:lineRule="auto"/>
              <w:jc w:val="center"/>
            </w:pPr>
            <w:r>
              <w:rPr>
                <w:sz w:val="20"/>
                <w:szCs w:val="20"/>
              </w:rPr>
              <w:t xml:space="preserve">7.300</w:t>
            </w:r>
          </w:p>
        </w:tc>
        <w:tc>
          <w:tcPr>
            <w:tcW w:w="1500" w:type="dxa"/>
            <w:vAlign w:val="center"/>
          </w:tcPr>
          <w:p>
            <w:pPr>
              <w:keepNext/>
              <w:spacing w:before="30" w:after="30" w:line="240" w:lineRule="auto"/>
              <w:jc w:val="center"/>
            </w:pPr>
            <w:r>
              <w:rPr>
                <w:sz w:val="20"/>
                <w:szCs w:val="20"/>
              </w:rPr>
              <w:t xml:space="preserve">8.550</w:t>
            </w:r>
          </w:p>
        </w:tc>
        <w:tc>
          <w:tcPr>
            <w:tcW w:w="1500" w:type="dxa"/>
            <w:vAlign w:val="center"/>
          </w:tcPr>
          <w:p>
            <w:pPr>
              <w:keepNext/>
              <w:spacing w:before="30" w:after="30" w:line="240" w:lineRule="auto"/>
              <w:jc w:val="center"/>
            </w:pPr>
            <w:r>
              <w:rPr>
                <w:sz w:val="20"/>
                <w:szCs w:val="20"/>
              </w:rPr>
              <w:t xml:space="preserve">+17,1</w:t>
            </w:r>
          </w:p>
        </w:tc>
        <w:tc>
          <w:tcPr>
            <w:tcW w:w="1500" w:type="dxa"/>
            <w:vAlign w:val="center"/>
          </w:tcPr>
          <w:p>
            <w:pPr>
              <w:keepNext/>
              <w:spacing w:before="30" w:after="30" w:line="240" w:lineRule="auto"/>
              <w:jc w:val="center"/>
            </w:pPr>
            <w:r>
              <w:rPr>
                <w:sz w:val="20"/>
                <w:szCs w:val="20"/>
              </w:rPr>
              <w:t xml:space="preserve">9.300</w:t>
            </w:r>
          </w:p>
        </w:tc>
        <w:tc>
          <w:tcPr>
            <w:tcW w:w="1300" w:type="dxa"/>
            <w:vAlign w:val="center"/>
          </w:tcPr>
          <w:p>
            <w:pPr>
              <w:keepNext/>
              <w:spacing w:before="30" w:after="30" w:line="240" w:lineRule="auto"/>
              <w:jc w:val="center"/>
            </w:pPr>
            <w:r>
              <w:rPr>
                <w:sz w:val="20"/>
                <w:szCs w:val="20"/>
              </w:rPr>
              <w:t xml:space="preserve">22,8</w:t>
            </w:r>
          </w:p>
        </w:tc>
        <w:tc>
          <w:tcPr>
            <w:tcW w:w="1600" w:type="dxa"/>
            <w:vAlign w:val="center"/>
          </w:tcPr>
          <w:p>
            <w:pPr>
              <w:keepNext/>
              <w:spacing w:before="30" w:after="30" w:line="240" w:lineRule="auto"/>
              <w:jc w:val="center"/>
            </w:pPr>
            <w:r>
              <w:rPr>
                <w:sz w:val="20"/>
                <w:szCs w:val="20"/>
              </w:rPr>
              <w:t xml:space="preserve">92,3</w:t>
            </w:r>
          </w:p>
        </w:tc>
      </w:tr>
      <w:tr>
        <w:trPr>
          <w:cantSplit/>
        </w:trPr>
        <w:tc>
          <w:tcPr>
            <w:tcW w:w="1100" w:type="dxa"/>
            <w:vAlign w:val="center"/>
          </w:tcPr>
          <w:p>
            <w:pPr>
              <w:keepNext/>
              <w:spacing w:before="30" w:after="30" w:line="240" w:lineRule="auto"/>
              <w:jc w:val="center"/>
            </w:pPr>
            <w:r>
              <w:rPr>
                <w:sz w:val="20"/>
                <w:szCs w:val="20"/>
              </w:rPr>
              <w:t xml:space="preserve">2023</w:t>
            </w:r>
          </w:p>
        </w:tc>
        <w:tc>
          <w:tcPr>
            <w:tcW w:w="1500" w:type="dxa"/>
            <w:vAlign w:val="center"/>
          </w:tcPr>
          <w:p>
            <w:pPr>
              <w:keepNext/>
              <w:spacing w:before="30" w:after="30" w:line="240" w:lineRule="auto"/>
              <w:jc w:val="center"/>
            </w:pPr>
            <w:r>
              <w:rPr>
                <w:sz w:val="20"/>
                <w:szCs w:val="20"/>
              </w:rPr>
              <w:t xml:space="preserve">8.550</w:t>
            </w:r>
          </w:p>
        </w:tc>
        <w:tc>
          <w:tcPr>
            <w:tcW w:w="1500" w:type="dxa"/>
            <w:vAlign w:val="center"/>
          </w:tcPr>
          <w:p>
            <w:pPr>
              <w:keepNext/>
              <w:spacing w:before="30" w:after="30" w:line="240" w:lineRule="auto"/>
              <w:jc w:val="center"/>
            </w:pPr>
            <w:r>
              <w:rPr>
                <w:sz w:val="20"/>
                <w:szCs w:val="20"/>
              </w:rPr>
              <w:t xml:space="preserve">9.400</w:t>
            </w:r>
          </w:p>
        </w:tc>
        <w:tc>
          <w:tcPr>
            <w:tcW w:w="1500" w:type="dxa"/>
            <w:vAlign w:val="center"/>
          </w:tcPr>
          <w:p>
            <w:pPr>
              <w:keepNext/>
              <w:spacing w:before="30" w:after="30" w:line="240" w:lineRule="auto"/>
              <w:jc w:val="center"/>
            </w:pPr>
            <w:r>
              <w:rPr>
                <w:sz w:val="20"/>
                <w:szCs w:val="20"/>
              </w:rPr>
              <w:t xml:space="preserve">+9,9</w:t>
            </w:r>
          </w:p>
        </w:tc>
        <w:tc>
          <w:tcPr>
            <w:tcW w:w="1500" w:type="dxa"/>
            <w:vAlign w:val="center"/>
          </w:tcPr>
          <w:p>
            <w:pPr>
              <w:keepNext/>
              <w:spacing w:before="30" w:after="30" w:line="240" w:lineRule="auto"/>
              <w:jc w:val="center"/>
            </w:pPr>
            <w:r>
              <w:rPr>
                <w:sz w:val="20"/>
                <w:szCs w:val="20"/>
              </w:rPr>
              <w:t xml:space="preserve">9.400</w:t>
            </w:r>
          </w:p>
        </w:tc>
        <w:tc>
          <w:tcPr>
            <w:tcW w:w="1300" w:type="dxa"/>
            <w:vAlign w:val="center"/>
          </w:tcPr>
          <w:p>
            <w:pPr>
              <w:keepNext/>
              <w:spacing w:before="30" w:after="30" w:line="240" w:lineRule="auto"/>
              <w:jc w:val="center"/>
            </w:pPr>
            <w:r>
              <w:rPr>
                <w:sz w:val="20"/>
                <w:szCs w:val="20"/>
              </w:rPr>
              <w:t xml:space="preserve">17,5</w:t>
            </w:r>
          </w:p>
        </w:tc>
        <w:tc>
          <w:tcPr>
            <w:tcW w:w="1600" w:type="dxa"/>
            <w:vAlign w:val="center"/>
          </w:tcPr>
          <w:p>
            <w:pPr>
              <w:keepNext/>
              <w:spacing w:before="30" w:after="30" w:line="240" w:lineRule="auto"/>
              <w:jc w:val="center"/>
            </w:pPr>
            <w:r>
              <w:rPr>
                <w:sz w:val="20"/>
                <w:szCs w:val="20"/>
              </w:rPr>
              <w:t xml:space="preserve">74,2</w:t>
            </w:r>
          </w:p>
        </w:tc>
      </w:tr>
      <w:tr>
        <w:trPr>
          <w:cantSplit/>
        </w:trPr>
        <w:tc>
          <w:tcPr>
            <w:tcW w:w="1100" w:type="dxa"/>
            <w:vAlign w:val="center"/>
          </w:tcPr>
          <w:p>
            <w:pPr>
              <w:keepNext/>
              <w:spacing w:before="30" w:after="30" w:line="240" w:lineRule="auto"/>
              <w:jc w:val="center"/>
            </w:pPr>
            <w:r>
              <w:rPr>
                <w:sz w:val="20"/>
                <w:szCs w:val="20"/>
              </w:rPr>
              <w:t xml:space="preserve">2024</w:t>
            </w:r>
          </w:p>
        </w:tc>
        <w:tc>
          <w:tcPr>
            <w:tcW w:w="1500" w:type="dxa"/>
            <w:vAlign w:val="center"/>
          </w:tcPr>
          <w:p>
            <w:pPr>
              <w:keepNext/>
              <w:spacing w:before="30" w:after="30" w:line="240" w:lineRule="auto"/>
              <w:jc w:val="center"/>
            </w:pPr>
            <w:r>
              <w:rPr>
                <w:sz w:val="20"/>
                <w:szCs w:val="20"/>
              </w:rPr>
              <w:t xml:space="preserve">9.400</w:t>
            </w:r>
          </w:p>
        </w:tc>
        <w:tc>
          <w:tcPr>
            <w:tcW w:w="1500" w:type="dxa"/>
            <w:vAlign w:val="center"/>
          </w:tcPr>
          <w:p>
            <w:pPr>
              <w:keepNext/>
              <w:spacing w:before="30" w:after="30" w:line="240" w:lineRule="auto"/>
              <w:jc w:val="center"/>
            </w:pPr>
            <w:r>
              <w:rPr>
                <w:sz w:val="20"/>
                <w:szCs w:val="20"/>
              </w:rPr>
              <w:t xml:space="preserve">9.675</w:t>
            </w:r>
          </w:p>
        </w:tc>
        <w:tc>
          <w:tcPr>
            <w:tcW w:w="1500" w:type="dxa"/>
            <w:vAlign w:val="center"/>
          </w:tcPr>
          <w:p>
            <w:pPr>
              <w:keepNext/>
              <w:spacing w:before="30" w:after="30" w:line="240" w:lineRule="auto"/>
              <w:jc w:val="center"/>
            </w:pPr>
            <w:r>
              <w:rPr>
                <w:sz w:val="20"/>
                <w:szCs w:val="20"/>
              </w:rPr>
              <w:t xml:space="preserve">+2,9</w:t>
            </w:r>
          </w:p>
        </w:tc>
        <w:tc>
          <w:tcPr>
            <w:tcW w:w="1500" w:type="dxa"/>
            <w:vAlign w:val="center"/>
          </w:tcPr>
          <w:p>
            <w:pPr>
              <w:keepNext/>
              <w:spacing w:before="30" w:after="30" w:line="240" w:lineRule="auto"/>
              <w:jc w:val="center"/>
            </w:pPr>
            <w:r>
              <w:rPr>
                <w:sz w:val="20"/>
                <w:szCs w:val="20"/>
              </w:rPr>
              <w:t xml:space="preserve">10.950</w:t>
            </w:r>
          </w:p>
        </w:tc>
        <w:tc>
          <w:tcPr>
            <w:tcW w:w="1300" w:type="dxa"/>
            <w:vAlign w:val="center"/>
          </w:tcPr>
          <w:p>
            <w:pPr>
              <w:keepNext/>
              <w:spacing w:before="30" w:after="30" w:line="240" w:lineRule="auto"/>
              <w:jc w:val="center"/>
            </w:pPr>
            <w:r>
              <w:rPr>
                <w:sz w:val="20"/>
                <w:szCs w:val="20"/>
              </w:rPr>
              <w:t xml:space="preserve">22,2</w:t>
            </w:r>
          </w:p>
        </w:tc>
        <w:tc>
          <w:tcPr>
            <w:tcW w:w="1600" w:type="dxa"/>
            <w:vAlign w:val="center"/>
          </w:tcPr>
          <w:p>
            <w:pPr>
              <w:keepNext/>
              <w:spacing w:before="30" w:after="30" w:line="240" w:lineRule="auto"/>
              <w:jc w:val="center"/>
            </w:pPr>
            <w:r>
              <w:rPr>
                <w:sz w:val="20"/>
                <w:szCs w:val="20"/>
              </w:rPr>
              <w:t xml:space="preserve">80,9</w:t>
            </w:r>
          </w:p>
        </w:tc>
      </w:tr>
      <w:tr>
        <w:trPr>
          <w:cantSplit/>
        </w:trPr>
        <w:tc>
          <w:tcPr>
            <w:tcW w:w="1100" w:type="dxa"/>
            <w:vAlign w:val="center"/>
          </w:tcPr>
          <w:p>
            <w:pPr>
              <w:keepNext/>
              <w:spacing w:before="30" w:after="30" w:line="240" w:lineRule="auto"/>
              <w:jc w:val="center"/>
            </w:pPr>
            <w:r>
              <w:rPr>
                <w:sz w:val="20"/>
                <w:szCs w:val="20"/>
              </w:rPr>
              <w:t xml:space="preserve">2025</w:t>
            </w:r>
          </w:p>
        </w:tc>
        <w:tc>
          <w:tcPr>
            <w:tcW w:w="1500" w:type="dxa"/>
            <w:vAlign w:val="center"/>
          </w:tcPr>
          <w:p>
            <w:pPr>
              <w:keepNext/>
              <w:spacing w:before="30" w:after="30" w:line="240" w:lineRule="auto"/>
              <w:jc w:val="center"/>
            </w:pPr>
            <w:r>
              <w:rPr>
                <w:sz w:val="20"/>
                <w:szCs w:val="20"/>
              </w:rPr>
              <w:t xml:space="preserve">9.675</w:t>
            </w:r>
          </w:p>
        </w:tc>
        <w:tc>
          <w:tcPr>
            <w:tcW w:w="1500" w:type="dxa"/>
            <w:vAlign w:val="center"/>
          </w:tcPr>
          <w:p>
            <w:pPr>
              <w:keepNext/>
              <w:spacing w:before="30" w:after="30" w:line="240" w:lineRule="auto"/>
              <w:jc w:val="center"/>
            </w:pPr>
            <w:r>
              <w:rPr>
                <w:sz w:val="20"/>
                <w:szCs w:val="20"/>
              </w:rPr>
              <w:t xml:space="preserve">8.075</w:t>
            </w:r>
          </w:p>
        </w:tc>
        <w:tc>
          <w:tcPr>
            <w:tcW w:w="1500" w:type="dxa"/>
            <w:vAlign w:val="center"/>
          </w:tcPr>
          <w:p>
            <w:pPr>
              <w:keepNext/>
              <w:spacing w:before="30" w:after="30" w:line="240" w:lineRule="auto"/>
              <w:jc w:val="center"/>
            </w:pPr>
            <w:r>
              <w:rPr>
                <w:sz w:val="20"/>
                <w:szCs w:val="20"/>
              </w:rPr>
              <w:t xml:space="preserve">−16,5</w:t>
            </w:r>
          </w:p>
        </w:tc>
        <w:tc>
          <w:tcPr>
            <w:tcW w:w="1500" w:type="dxa"/>
            <w:vAlign w:val="center"/>
          </w:tcPr>
          <w:p>
            <w:pPr>
              <w:keepNext/>
              <w:spacing w:before="30" w:after="30" w:line="240" w:lineRule="auto"/>
              <w:jc w:val="center"/>
            </w:pPr>
            <w:r>
              <w:rPr>
                <w:sz w:val="20"/>
                <w:szCs w:val="20"/>
              </w:rPr>
              <w:t xml:space="preserve">9.900</w:t>
            </w:r>
          </w:p>
        </w:tc>
        <w:tc>
          <w:tcPr>
            <w:tcW w:w="1300" w:type="dxa"/>
            <w:vAlign w:val="center"/>
          </w:tcPr>
          <w:p>
            <w:pPr>
              <w:keepNext/>
              <w:spacing w:before="30" w:after="30" w:line="240" w:lineRule="auto"/>
              <w:jc w:val="center"/>
            </w:pPr>
            <w:r>
              <w:rPr>
                <w:sz w:val="20"/>
                <w:szCs w:val="20"/>
              </w:rPr>
              <w:t xml:space="preserve">29,4</w:t>
            </w:r>
          </w:p>
        </w:tc>
        <w:tc>
          <w:tcPr>
            <w:tcW w:w="1600" w:type="dxa"/>
            <w:vAlign w:val="center"/>
          </w:tcPr>
          <w:p>
            <w:pPr>
              <w:keepNext/>
              <w:spacing w:before="30" w:after="30" w:line="240" w:lineRule="auto"/>
              <w:jc w:val="center"/>
            </w:pPr>
            <w:r>
              <w:rPr>
                <w:sz w:val="20"/>
                <w:szCs w:val="20"/>
              </w:rPr>
              <w:t xml:space="preserve">130,2</w:t>
            </w:r>
          </w:p>
        </w:tc>
      </w:tr>
      <w:tr>
        <w:trPr>
          <w:cantSplit/>
        </w:trPr>
        <w:tc>
          <w:tcPr>
            <w:tcW w:w="1100" w:type="dxa"/>
            <w:vAlign w:val="center"/>
          </w:tcPr>
          <w:p>
            <w:pPr>
              <w:spacing w:before="30" w:after="30" w:line="240" w:lineRule="auto"/>
              <w:jc w:val="center"/>
            </w:pPr>
            <w:r>
              <w:rPr>
                <w:sz w:val="20"/>
                <w:szCs w:val="20"/>
              </w:rPr>
              <w:t xml:space="preserve">2026*</w:t>
            </w:r>
          </w:p>
        </w:tc>
        <w:tc>
          <w:tcPr>
            <w:tcW w:w="1500" w:type="dxa"/>
            <w:vAlign w:val="center"/>
          </w:tcPr>
          <w:p>
            <w:pPr>
              <w:spacing w:before="30" w:after="30" w:line="240" w:lineRule="auto"/>
              <w:jc w:val="center"/>
            </w:pPr>
            <w:r>
              <w:rPr>
                <w:sz w:val="20"/>
                <w:szCs w:val="20"/>
              </w:rPr>
              <w:t xml:space="preserve">8.075</w:t>
            </w:r>
          </w:p>
        </w:tc>
        <w:tc>
          <w:tcPr>
            <w:tcW w:w="1500" w:type="dxa"/>
            <w:vAlign w:val="center"/>
          </w:tcPr>
          <w:p>
            <w:pPr>
              <w:spacing w:before="30" w:after="30" w:line="240" w:lineRule="auto"/>
              <w:jc w:val="center"/>
            </w:pPr>
            <w:r>
              <w:rPr>
                <w:sz w:val="20"/>
                <w:szCs w:val="20"/>
              </w:rPr>
              <w:t xml:space="preserve">5.275</w:t>
            </w:r>
          </w:p>
        </w:tc>
        <w:tc>
          <w:tcPr>
            <w:tcW w:w="1500" w:type="dxa"/>
            <w:vAlign w:val="center"/>
          </w:tcPr>
          <w:p>
            <w:pPr>
              <w:spacing w:before="30" w:after="30" w:line="240" w:lineRule="auto"/>
              <w:jc w:val="center"/>
            </w:pPr>
            <w:r>
              <w:rPr>
                <w:sz w:val="20"/>
                <w:szCs w:val="20"/>
              </w:rPr>
              <w:t xml:space="preserve">−34,7</w:t>
            </w:r>
          </w:p>
        </w:tc>
        <w:tc>
          <w:tcPr>
            <w:tcW w:w="1500" w:type="dxa"/>
            <w:vAlign w:val="center"/>
          </w:tcPr>
          <w:p>
            <w:pPr>
              <w:spacing w:before="30" w:after="30" w:line="240" w:lineRule="auto"/>
              <w:jc w:val="center"/>
            </w:pPr>
            <w:r>
              <w:rPr>
                <w:sz w:val="20"/>
                <w:szCs w:val="20"/>
              </w:rPr>
              <w:t xml:space="preserve">8.175</w:t>
            </w:r>
          </w:p>
        </w:tc>
        <w:tc>
          <w:tcPr>
            <w:tcW w:w="1300" w:type="dxa"/>
            <w:vAlign w:val="center"/>
          </w:tcPr>
          <w:p>
            <w:pPr>
              <w:spacing w:before="30" w:after="30" w:line="240" w:lineRule="auto"/>
              <w:jc w:val="center"/>
            </w:pPr>
            <w:r>
              <w:rPr>
                <w:sz w:val="20"/>
                <w:szCs w:val="20"/>
              </w:rPr>
              <w:t xml:space="preserve">42,0</w:t>
            </w:r>
          </w:p>
        </w:tc>
        <w:tc>
          <w:tcPr>
            <w:tcW w:w="1600" w:type="dxa"/>
            <w:vAlign w:val="center"/>
          </w:tcPr>
          <w:p>
            <w:pPr>
              <w:spacing w:before="30" w:after="30" w:line="240" w:lineRule="auto"/>
              <w:jc w:val="center"/>
            </w:pPr>
            <w:r>
              <w:rPr>
                <w:sz w:val="20"/>
                <w:szCs w:val="20"/>
              </w:rPr>
              <w:t xml:space="preserve">217,0</w:t>
            </w:r>
          </w:p>
        </w:tc>
      </w:tr>
    </w:tbl>
    <w:p>
      <w:pPr>
        <w:spacing w:before="0" w:after="120" w:line="240" w:lineRule="auto"/>
      </w:pPr>
    </w:p>
    <w:p>
      <w:pPr>
        <w:spacing w:before="0" w:after="160" w:line="300" w:lineRule="auto"/>
        <w:jc w:val="both"/>
      </w:pPr>
      <w:r>
        <w:rPr/>
        <w:t xml:space="preserve">*Tahun 2026 sampai 28 Oktober 2026.</w:t>
      </w:r>
    </w:p>
    <w:p>
      <w:pPr>
        <w:spacing w:before="0" w:after="160" w:line="300" w:lineRule="auto"/>
        <w:ind w:firstLine="576"/>
        <w:jc w:val="both"/>
      </w:pPr>
      <w:r>
        <w:rPr>
          <w:b/>
          <w:bCs/>
        </w:rPr>
        <w:t xml:space="preserve">Interpretasi.</w:t>
      </w:r>
      <w:r>
        <w:rPr/>
        <w:t xml:space="preserve"> BBCA mencatat return positif selama lima tahun berturut-turut (2020–2024), dengan tahun terbaik </w:t>
      </w:r>
      <w:r>
        <w:rPr>
          <w:b/>
          <w:bCs/>
        </w:rPr>
        <w:t xml:space="preserve">2022 (+17,1%)</w:t>
      </w:r>
      <w:r>
        <w:rPr/>
        <w:t xml:space="preserve">. Sebaliknya, dua tahun terakhir negatif, yaitu 2025 (−16,5%) dan </w:t>
      </w:r>
      <w:r>
        <w:rPr>
          <w:b/>
          <w:bCs/>
        </w:rPr>
        <w:t xml:space="preserve">2026 (−34,7% hingga Oktober)</w:t>
      </w:r>
      <w:r>
        <w:rPr/>
        <w:t xml:space="preserve">. Penurunan ini disertai kenaikan risiko dan aktivitas: volatilitas tahunan naik dari 17,5% pada 2023 menjadi 42,0% pada 2026, dan rata-rata volume harian 2026 hampir tiga kali lipat volume 2023. Pada 2020 harga berhasil pulih dari kejatuhan Maret dan tetap ditutup positif 1,2%.</w:t>
      </w:r>
    </w:p>
    <w:p>
      <w:pPr>
        <w:keepNext/>
        <w:spacing w:before="200" w:after="120"/>
        <w:outlineLvl w:val="1"/>
      </w:pPr>
      <w:r>
        <w:rPr>
          <w:b/>
          <w:bCs/>
        </w:rPr>
        <w:t xml:space="preserve">8.5 Visualisasi 3: Sebaran Return Harian</w:t>
      </w:r>
    </w:p>
    <w:p>
      <w:pPr>
        <w:spacing w:before="0" w:after="160" w:line="300" w:lineRule="auto"/>
        <w:ind w:firstLine="576"/>
        <w:jc w:val="both"/>
      </w:pPr>
      <w:r>
        <w:rPr/>
        <w:t xml:space="preserve">Histogram memperlihatkan seberapa sering besaran perubahan harga harian terjadi, sehingga tingkat risiko harian dapat dinilai.</w:t>
      </w:r>
    </w:p>
    <w:p>
      <w:pPr>
        <w:keepNext/>
        <w:spacing w:before="120" w:after="0"/>
        <w:jc w:val="center"/>
      </w:pPr>
      <w:r>
        <w:drawing>
          <wp:inline distT="0" distB="0" distL="0" distR="0">
            <wp:extent cx="5220000" cy="2831591"/>
            <wp:docPr id="207" name="Gambar 7"/>
            <wp:cNvGraphicFramePr>
              <a:graphicFrameLocks noChangeAspect="1"/>
            </wp:cNvGraphicFramePr>
            <a:graphic>
              <a:graphicData uri="http://schemas.openxmlformats.org/drawingml/2006/picture">
                <pic:pic>
                  <pic:nvPicPr>
                    <pic:cNvPr id="207" name="img7.png"/>
                    <pic:cNvPicPr/>
                  </pic:nvPicPr>
                  <pic:blipFill>
                    <a:blip r:embed="rIdImg7"/>
                    <a:stretch>
                      <a:fillRect/>
                    </a:stretch>
                  </pic:blipFill>
                  <pic:spPr>
                    <a:xfrm>
                      <a:off x="0" y="0"/>
                      <a:ext cx="5220000" cy="2831591"/>
                    </a:xfrm>
                    <a:prstGeom prst="rect">
                      <a:avLst/>
                    </a:prstGeom>
                  </pic:spPr>
                </pic:pic>
              </a:graphicData>
            </a:graphic>
          </wp:inline>
        </w:drawing>
      </w:r>
    </w:p>
    <w:p>
      <w:pPr>
        <w:spacing w:before="60" w:after="220"/>
        <w:jc w:val="center"/>
      </w:pPr>
      <w:r>
        <w:rPr>
          <w:i/>
          <w:iCs/>
          <w:sz w:val="20"/>
          <w:szCs w:val="20"/>
        </w:rPr>
        <w:t xml:space="preserve">Gambar </w:t>
      </w:r>
      <w:r>
        <w:rPr>
          <w:i/>
          <w:sz w:val="20"/>
        </w:rPr>
        <w:fldChar w:fldCharType="begin"/>
      </w:r>
      <w:r>
        <w:rPr>
          <w:i/>
          <w:sz w:val="20"/>
        </w:rPr>
        <w:instrText xml:space="preserve"> SEQ Gambar \* ARABIC </w:instrText>
      </w:r>
      <w:r>
        <w:rPr>
          <w:i/>
          <w:sz w:val="20"/>
        </w:rPr>
        <w:fldChar w:fldCharType="separate"/>
      </w:r>
      <w:r>
        <w:rPr>
          <w:i/>
          <w:iCs/>
          <w:sz w:val="20"/>
          <w:szCs w:val="20"/>
        </w:rPr>
        <w:t>7</w:t>
      </w:r>
      <w:r>
        <w:rPr>
          <w:i/>
          <w:sz w:val="20"/>
        </w:rPr>
        <w:fldChar w:fldCharType="end"/>
      </w:r>
      <w:r>
        <w:rPr>
          <w:i/>
          <w:iCs/>
          <w:sz w:val="20"/>
          <w:szCs w:val="20"/>
        </w:rPr>
        <w:t xml:space="preserve">. Sebaran return harian saham BBCA, 2020–2026</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11</w:t>
      </w:r>
      <w:r>
        <w:rPr>
          <w:i/>
          <w:sz w:val="20"/>
        </w:rPr>
        <w:fldChar w:fldCharType="end"/>
      </w:r>
      <w:r>
        <w:rPr>
          <w:i/>
          <w:iCs/>
          <w:sz w:val="20"/>
          <w:szCs w:val="20"/>
        </w:rPr>
        <w:t xml:space="preserve">. Statistik return harian saham BBCA</w:t>
      </w:r>
    </w:p>
    <w:tbl>
      <w:tblPr>
        <w:tblW w:w="8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5000"/>
        <w:gridCol w:w="3000"/>
      </w:tblGrid>
      <w:tr>
        <w:trPr>
          <w:tblHeader/>
        </w:trPr>
        <w:tc>
          <w:tcPr>
            <w:tcW w:w="5000" w:type="dxa"/>
            <w:shd w:val="clear" w:color="auto" w:fill="D9E2F3"/>
            <w:vAlign w:val="center"/>
          </w:tcPr>
          <w:p>
            <w:pPr>
              <w:keepNext/>
              <w:spacing w:before="30" w:after="30" w:line="240" w:lineRule="auto"/>
              <w:jc w:val="center"/>
            </w:pPr>
            <w:r>
              <w:rPr>
                <w:b/>
                <w:bCs/>
                <w:sz w:val="20"/>
                <w:szCs w:val="20"/>
              </w:rPr>
              <w:t xml:space="preserve">Ukuran</w:t>
            </w:r>
          </w:p>
        </w:tc>
        <w:tc>
          <w:tcPr>
            <w:tcW w:w="3000" w:type="dxa"/>
            <w:shd w:val="clear" w:color="auto" w:fill="D9E2F3"/>
            <w:vAlign w:val="center"/>
          </w:tcPr>
          <w:p>
            <w:pPr>
              <w:keepNext/>
              <w:spacing w:before="30" w:after="30" w:line="240" w:lineRule="auto"/>
              <w:jc w:val="center"/>
            </w:pPr>
            <w:r>
              <w:rPr>
                <w:b/>
                <w:bCs/>
                <w:sz w:val="20"/>
                <w:szCs w:val="20"/>
              </w:rPr>
              <w:t xml:space="preserve">Nilai</w:t>
            </w:r>
          </w:p>
        </w:tc>
      </w:tr>
      <w:tr>
        <w:trPr>
          <w:cantSplit/>
        </w:trPr>
        <w:tc>
          <w:tcPr>
            <w:tcW w:w="5000" w:type="dxa"/>
            <w:vAlign w:val="center"/>
          </w:tcPr>
          <w:p>
            <w:pPr>
              <w:keepNext/>
              <w:spacing w:before="30" w:after="30" w:line="240" w:lineRule="auto"/>
              <w:jc w:val="left"/>
            </w:pPr>
            <w:r>
              <w:rPr>
                <w:sz w:val="20"/>
                <w:szCs w:val="20"/>
              </w:rPr>
              <w:t xml:space="preserve">Rata-rata</w:t>
            </w:r>
          </w:p>
        </w:tc>
        <w:tc>
          <w:tcPr>
            <w:tcW w:w="3000" w:type="dxa"/>
            <w:vAlign w:val="center"/>
          </w:tcPr>
          <w:p>
            <w:pPr>
              <w:keepNext/>
              <w:spacing w:before="30" w:after="30" w:line="240" w:lineRule="auto"/>
              <w:jc w:val="center"/>
            </w:pPr>
            <w:r>
              <w:rPr>
                <w:sz w:val="20"/>
                <w:szCs w:val="20"/>
              </w:rPr>
              <w:t xml:space="preserve">0,002%</w:t>
            </w:r>
          </w:p>
        </w:tc>
      </w:tr>
      <w:tr>
        <w:trPr>
          <w:cantSplit/>
        </w:trPr>
        <w:tc>
          <w:tcPr>
            <w:tcW w:w="5000" w:type="dxa"/>
            <w:vAlign w:val="center"/>
          </w:tcPr>
          <w:p>
            <w:pPr>
              <w:keepNext/>
              <w:spacing w:before="30" w:after="30" w:line="240" w:lineRule="auto"/>
              <w:jc w:val="left"/>
            </w:pPr>
            <w:r>
              <w:rPr>
                <w:sz w:val="20"/>
                <w:szCs w:val="20"/>
              </w:rPr>
              <w:t xml:space="preserve">Simpangan baku</w:t>
            </w:r>
          </w:p>
        </w:tc>
        <w:tc>
          <w:tcPr>
            <w:tcW w:w="3000" w:type="dxa"/>
            <w:vAlign w:val="center"/>
          </w:tcPr>
          <w:p>
            <w:pPr>
              <w:keepNext/>
              <w:spacing w:before="30" w:after="30" w:line="240" w:lineRule="auto"/>
              <w:jc w:val="center"/>
            </w:pPr>
            <w:r>
              <w:rPr>
                <w:sz w:val="20"/>
                <w:szCs w:val="20"/>
              </w:rPr>
              <w:t xml:space="preserve">1,80%</w:t>
            </w:r>
          </w:p>
        </w:tc>
      </w:tr>
      <w:tr>
        <w:trPr>
          <w:cantSplit/>
        </w:trPr>
        <w:tc>
          <w:tcPr>
            <w:tcW w:w="5000" w:type="dxa"/>
            <w:vAlign w:val="center"/>
          </w:tcPr>
          <w:p>
            <w:pPr>
              <w:keepNext/>
              <w:spacing w:before="30" w:after="30" w:line="240" w:lineRule="auto"/>
              <w:jc w:val="left"/>
            </w:pPr>
            <w:r>
              <w:rPr>
                <w:sz w:val="20"/>
                <w:szCs w:val="20"/>
              </w:rPr>
              <w:t xml:space="preserve">Volatilitas tahunan</w:t>
            </w:r>
          </w:p>
        </w:tc>
        <w:tc>
          <w:tcPr>
            <w:tcW w:w="3000" w:type="dxa"/>
            <w:vAlign w:val="center"/>
          </w:tcPr>
          <w:p>
            <w:pPr>
              <w:keepNext/>
              <w:spacing w:before="30" w:after="30" w:line="240" w:lineRule="auto"/>
              <w:jc w:val="center"/>
            </w:pPr>
            <w:r>
              <w:rPr>
                <w:sz w:val="20"/>
                <w:szCs w:val="20"/>
              </w:rPr>
              <w:t xml:space="preserve">28,6%</w:t>
            </w:r>
          </w:p>
        </w:tc>
      </w:tr>
      <w:tr>
        <w:trPr>
          <w:cantSplit/>
        </w:trPr>
        <w:tc>
          <w:tcPr>
            <w:tcW w:w="5000" w:type="dxa"/>
            <w:vAlign w:val="center"/>
          </w:tcPr>
          <w:p>
            <w:pPr>
              <w:keepNext/>
              <w:spacing w:before="30" w:after="30" w:line="240" w:lineRule="auto"/>
              <w:jc w:val="left"/>
            </w:pPr>
            <w:r>
              <w:rPr>
                <w:sz w:val="20"/>
                <w:szCs w:val="20"/>
              </w:rPr>
              <w:t xml:space="preserve">Kurtosis (excess)</w:t>
            </w:r>
          </w:p>
        </w:tc>
        <w:tc>
          <w:tcPr>
            <w:tcW w:w="3000" w:type="dxa"/>
            <w:vAlign w:val="center"/>
          </w:tcPr>
          <w:p>
            <w:pPr>
              <w:keepNext/>
              <w:spacing w:before="30" w:after="30" w:line="240" w:lineRule="auto"/>
              <w:jc w:val="center"/>
            </w:pPr>
            <w:r>
              <w:rPr>
                <w:sz w:val="20"/>
                <w:szCs w:val="20"/>
              </w:rPr>
              <w:t xml:space="preserve">10,41</w:t>
            </w:r>
          </w:p>
        </w:tc>
      </w:tr>
      <w:tr>
        <w:trPr>
          <w:cantSplit/>
        </w:trPr>
        <w:tc>
          <w:tcPr>
            <w:tcW w:w="5000" w:type="dxa"/>
            <w:vAlign w:val="center"/>
          </w:tcPr>
          <w:p>
            <w:pPr>
              <w:keepNext/>
              <w:spacing w:before="30" w:after="30" w:line="240" w:lineRule="auto"/>
              <w:jc w:val="left"/>
            </w:pPr>
            <w:r>
              <w:rPr>
                <w:sz w:val="20"/>
                <w:szCs w:val="20"/>
              </w:rPr>
              <w:t xml:space="preserve">Kenaikan harian terbesar</w:t>
            </w:r>
          </w:p>
        </w:tc>
        <w:tc>
          <w:tcPr>
            <w:tcW w:w="3000" w:type="dxa"/>
            <w:vAlign w:val="center"/>
          </w:tcPr>
          <w:p>
            <w:pPr>
              <w:keepNext/>
              <w:spacing w:before="30" w:after="30" w:line="240" w:lineRule="auto"/>
              <w:jc w:val="center"/>
            </w:pPr>
            <w:r>
              <w:rPr>
                <w:sz w:val="20"/>
                <w:szCs w:val="20"/>
              </w:rPr>
              <w:t xml:space="preserve">+17,33% (26 Mar 2020)</w:t>
            </w:r>
          </w:p>
        </w:tc>
      </w:tr>
      <w:tr>
        <w:trPr>
          <w:cantSplit/>
        </w:trPr>
        <w:tc>
          <w:tcPr>
            <w:tcW w:w="5000" w:type="dxa"/>
            <w:vAlign w:val="center"/>
          </w:tcPr>
          <w:p>
            <w:pPr>
              <w:keepNext/>
              <w:spacing w:before="30" w:after="30" w:line="240" w:lineRule="auto"/>
              <w:jc w:val="left"/>
            </w:pPr>
            <w:r>
              <w:rPr>
                <w:sz w:val="20"/>
                <w:szCs w:val="20"/>
              </w:rPr>
              <w:t xml:space="preserve">Penurunan harian terbesar</w:t>
            </w:r>
          </w:p>
        </w:tc>
        <w:tc>
          <w:tcPr>
            <w:tcW w:w="3000" w:type="dxa"/>
            <w:vAlign w:val="center"/>
          </w:tcPr>
          <w:p>
            <w:pPr>
              <w:keepNext/>
              <w:spacing w:before="30" w:after="30" w:line="240" w:lineRule="auto"/>
              <w:jc w:val="center"/>
            </w:pPr>
            <w:r>
              <w:rPr>
                <w:sz w:val="20"/>
                <w:szCs w:val="20"/>
              </w:rPr>
              <w:t xml:space="preserve">−14,81% (16 Okt 2026)</w:t>
            </w:r>
          </w:p>
        </w:tc>
      </w:tr>
      <w:tr>
        <w:trPr>
          <w:cantSplit/>
        </w:trPr>
        <w:tc>
          <w:tcPr>
            <w:tcW w:w="5000" w:type="dxa"/>
            <w:vAlign w:val="center"/>
          </w:tcPr>
          <w:p>
            <w:pPr>
              <w:keepNext/>
              <w:spacing w:before="30" w:after="30" w:line="240" w:lineRule="auto"/>
              <w:jc w:val="left"/>
            </w:pPr>
            <w:r>
              <w:rPr>
                <w:sz w:val="20"/>
                <w:szCs w:val="20"/>
              </w:rPr>
              <w:t xml:space="preserve">Hari naik / turun / tetap</w:t>
            </w:r>
          </w:p>
        </w:tc>
        <w:tc>
          <w:tcPr>
            <w:tcW w:w="3000" w:type="dxa"/>
            <w:vAlign w:val="center"/>
          </w:tcPr>
          <w:p>
            <w:pPr>
              <w:keepNext/>
              <w:spacing w:before="30" w:after="30" w:line="240" w:lineRule="auto"/>
              <w:jc w:val="center"/>
            </w:pPr>
            <w:r>
              <w:rPr>
                <w:sz w:val="20"/>
                <w:szCs w:val="20"/>
              </w:rPr>
              <w:t xml:space="preserve">43,9% / 47,4% / 8,6%</w:t>
            </w:r>
          </w:p>
        </w:tc>
      </w:tr>
      <w:tr>
        <w:trPr>
          <w:cantSplit/>
        </w:trPr>
        <w:tc>
          <w:tcPr>
            <w:tcW w:w="5000" w:type="dxa"/>
            <w:vAlign w:val="center"/>
          </w:tcPr>
          <w:p>
            <w:pPr>
              <w:spacing w:before="30" w:after="30" w:line="240" w:lineRule="auto"/>
              <w:jc w:val="left"/>
            </w:pPr>
            <w:r>
              <w:rPr>
                <w:sz w:val="20"/>
                <w:szCs w:val="20"/>
              </w:rPr>
              <w:t xml:space="preserve">Hari dengan perubahan lebih dari 5%</w:t>
            </w:r>
          </w:p>
        </w:tc>
        <w:tc>
          <w:tcPr>
            <w:tcW w:w="3000" w:type="dxa"/>
            <w:vAlign w:val="center"/>
          </w:tcPr>
          <w:p>
            <w:pPr>
              <w:spacing w:before="30" w:after="30" w:line="240" w:lineRule="auto"/>
              <w:jc w:val="center"/>
            </w:pPr>
            <w:r>
              <w:rPr>
                <w:sz w:val="20"/>
                <w:szCs w:val="20"/>
              </w:rPr>
              <w:t xml:space="preserve">30 hari</w:t>
            </w:r>
          </w:p>
        </w:tc>
      </w:tr>
    </w:tbl>
    <w:p>
      <w:pPr>
        <w:spacing w:before="0" w:after="120" w:line="240" w:lineRule="auto"/>
      </w:pPr>
    </w:p>
    <w:p>
      <w:pPr>
        <w:spacing w:before="0" w:after="160" w:line="300" w:lineRule="auto"/>
        <w:ind w:firstLine="576"/>
        <w:jc w:val="both"/>
      </w:pPr>
      <w:r>
        <w:rPr>
          <w:b/>
          <w:bCs/>
        </w:rPr>
        <w:t xml:space="preserve">Interpretasi.</w:t>
      </w:r>
      <w:r>
        <w:rPr/>
        <w:t xml:space="preserve"> Sebaran return sangat terpusat di sekitar nol dengan puncak yang runcing; pada sebagian besar hari harga bergerak kurang dari ±2%. Namun, nilai kurtosis 10,41 menunjukkan ekor sebaran yang jauh lebih tebal dibandingkan distribusi normal, artinya pergerakan ekstrem lebih sering terjadi daripada yang diperkirakan dari rata-rata. Tercatat 30 hari dengan perubahan lebih dari 5%, termasuk kenaikan +17,33% pada 26 Maret 2020 dan penurunan −14,81% pada 16 Oktober 2026. Jumlah hari turun (47,4%) sedikit lebih banyak daripada hari naik (43,9%), sejalan dengan rata-rata return harian yang hampir nol.</w:t>
      </w:r>
    </w:p>
    <w:p>
      <w:pPr>
        <w:keepNext/>
        <w:spacing w:before="200" w:after="120"/>
        <w:outlineLvl w:val="1"/>
      </w:pPr>
      <w:r>
        <w:rPr>
          <w:b/>
          <w:bCs/>
        </w:rPr>
        <w:t xml:space="preserve">8.6 Visualisasi 4: Volume dan Besarnya Pergerakan Harga</w:t>
      </w:r>
    </w:p>
    <w:p>
      <w:pPr>
        <w:spacing w:before="0" w:after="160" w:line="300" w:lineRule="auto"/>
        <w:ind w:firstLine="576"/>
        <w:jc w:val="both"/>
      </w:pPr>
      <w:r>
        <w:rPr/>
        <w:t xml:space="preserve">Scatter plot memasangkan volume perdagangan dengan besarnya pergerakan harga (nilai mutlak return) setiap hari. Sumbu volume menggunakan skala logaritmik karena rentangnya sangat lebar, dan warna titik menunjukkan tahun.</w:t>
      </w:r>
    </w:p>
    <w:p>
      <w:pPr>
        <w:keepNext/>
        <w:spacing w:before="120" w:after="0"/>
        <w:jc w:val="center"/>
      </w:pPr>
      <w:r>
        <w:drawing>
          <wp:inline distT="0" distB="0" distL="0" distR="0">
            <wp:extent cx="5400000" cy="3199390"/>
            <wp:docPr id="208" name="Gambar 8"/>
            <wp:cNvGraphicFramePr>
              <a:graphicFrameLocks noChangeAspect="1"/>
            </wp:cNvGraphicFramePr>
            <a:graphic>
              <a:graphicData uri="http://schemas.openxmlformats.org/drawingml/2006/picture">
                <pic:pic>
                  <pic:nvPicPr>
                    <pic:cNvPr id="208" name="img8.png"/>
                    <pic:cNvPicPr/>
                  </pic:nvPicPr>
                  <pic:blipFill>
                    <a:blip r:embed="rIdImg8"/>
                    <a:stretch>
                      <a:fillRect/>
                    </a:stretch>
                  </pic:blipFill>
                  <pic:spPr>
                    <a:xfrm>
                      <a:off x="0" y="0"/>
                      <a:ext cx="5400000" cy="3199390"/>
                    </a:xfrm>
                    <a:prstGeom prst="rect">
                      <a:avLst/>
                    </a:prstGeom>
                  </pic:spPr>
                </pic:pic>
              </a:graphicData>
            </a:graphic>
          </wp:inline>
        </w:drawing>
      </w:r>
    </w:p>
    <w:p>
      <w:pPr>
        <w:spacing w:before="60" w:after="220"/>
        <w:jc w:val="center"/>
      </w:pPr>
      <w:r>
        <w:rPr>
          <w:i/>
          <w:iCs/>
          <w:sz w:val="20"/>
          <w:szCs w:val="20"/>
        </w:rPr>
        <w:t xml:space="preserve">Gambar </w:t>
      </w:r>
      <w:r>
        <w:rPr>
          <w:i/>
          <w:sz w:val="20"/>
        </w:rPr>
        <w:fldChar w:fldCharType="begin"/>
      </w:r>
      <w:r>
        <w:rPr>
          <w:i/>
          <w:sz w:val="20"/>
        </w:rPr>
        <w:instrText xml:space="preserve"> SEQ Gambar \* ARABIC </w:instrText>
      </w:r>
      <w:r>
        <w:rPr>
          <w:i/>
          <w:sz w:val="20"/>
        </w:rPr>
        <w:fldChar w:fldCharType="separate"/>
      </w:r>
      <w:r>
        <w:rPr>
          <w:i/>
          <w:iCs/>
          <w:sz w:val="20"/>
          <w:szCs w:val="20"/>
        </w:rPr>
        <w:t>8</w:t>
      </w:r>
      <w:r>
        <w:rPr>
          <w:i/>
          <w:sz w:val="20"/>
        </w:rPr>
        <w:fldChar w:fldCharType="end"/>
      </w:r>
      <w:r>
        <w:rPr>
          <w:i/>
          <w:iCs/>
          <w:sz w:val="20"/>
          <w:szCs w:val="20"/>
        </w:rPr>
        <w:t xml:space="preserve">. Volume perdagangan dan besarnya pergerakan harga harian BBCA</w:t>
      </w:r>
    </w:p>
    <w:p>
      <w:pPr>
        <w:keepNext/>
        <w:spacing w:before="0" w:after="60"/>
        <w:jc w:val="center"/>
      </w:pPr>
      <w:r>
        <w:rPr>
          <w:i/>
          <w:iCs/>
          <w:sz w:val="20"/>
          <w:szCs w:val="20"/>
        </w:rPr>
        <w:t xml:space="preserve">Tabel </w:t>
      </w:r>
      <w:r>
        <w:rPr>
          <w:i/>
          <w:sz w:val="20"/>
        </w:rPr>
        <w:fldChar w:fldCharType="begin"/>
      </w:r>
      <w:r>
        <w:rPr>
          <w:i/>
          <w:sz w:val="20"/>
        </w:rPr>
        <w:instrText xml:space="preserve"> SEQ Tabel \* ARABIC </w:instrText>
      </w:r>
      <w:r>
        <w:rPr>
          <w:i/>
          <w:sz w:val="20"/>
        </w:rPr>
        <w:fldChar w:fldCharType="separate"/>
      </w:r>
      <w:r>
        <w:rPr>
          <w:i/>
          <w:iCs/>
          <w:sz w:val="20"/>
          <w:szCs w:val="20"/>
        </w:rPr>
        <w:t>12</w:t>
      </w:r>
      <w:r>
        <w:rPr>
          <w:i/>
          <w:sz w:val="20"/>
        </w:rPr>
        <w:fldChar w:fldCharType="end"/>
      </w:r>
      <w:r>
        <w:rPr>
          <w:i/>
          <w:iCs/>
          <w:sz w:val="20"/>
          <w:szCs w:val="20"/>
        </w:rPr>
        <w:t xml:space="preserve">. Rata-rata pergerakan harga menurut kelompok volume</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2600"/>
        <w:gridCol w:w="2600"/>
        <w:gridCol w:w="2600"/>
        <w:gridCol w:w="1500"/>
      </w:tblGrid>
      <w:tr>
        <w:trPr>
          <w:tblHeader/>
        </w:trPr>
        <w:tc>
          <w:tcPr>
            <w:tcW w:w="2600" w:type="dxa"/>
            <w:shd w:val="clear" w:color="auto" w:fill="D9E2F3"/>
            <w:vAlign w:val="center"/>
          </w:tcPr>
          <w:p>
            <w:pPr>
              <w:keepNext/>
              <w:spacing w:before="30" w:after="30" w:line="240" w:lineRule="auto"/>
              <w:jc w:val="center"/>
            </w:pPr>
            <w:r>
              <w:rPr>
                <w:b/>
                <w:bCs/>
                <w:sz w:val="20"/>
                <w:szCs w:val="20"/>
              </w:rPr>
              <w:t xml:space="preserve">Kelompok Volume</w:t>
            </w:r>
          </w:p>
        </w:tc>
        <w:tc>
          <w:tcPr>
            <w:tcW w:w="2600" w:type="dxa"/>
            <w:shd w:val="clear" w:color="auto" w:fill="D9E2F3"/>
            <w:vAlign w:val="center"/>
          </w:tcPr>
          <w:p>
            <w:pPr>
              <w:keepNext/>
              <w:spacing w:before="30" w:after="30" w:line="240" w:lineRule="auto"/>
              <w:jc w:val="center"/>
            </w:pPr>
            <w:r>
              <w:rPr>
                <w:b/>
                <w:bCs/>
                <w:sz w:val="20"/>
                <w:szCs w:val="20"/>
              </w:rPr>
              <w:t xml:space="preserve">Rentang Volume (juta)</w:t>
            </w:r>
          </w:p>
        </w:tc>
        <w:tc>
          <w:tcPr>
            <w:tcW w:w="2600" w:type="dxa"/>
            <w:shd w:val="clear" w:color="auto" w:fill="D9E2F3"/>
            <w:vAlign w:val="center"/>
          </w:tcPr>
          <w:p>
            <w:pPr>
              <w:keepNext/>
              <w:spacing w:before="30" w:after="30" w:line="240" w:lineRule="auto"/>
              <w:jc w:val="center"/>
            </w:pPr>
            <w:r>
              <w:rPr>
                <w:b/>
                <w:bCs/>
                <w:sz w:val="20"/>
                <w:szCs w:val="20"/>
              </w:rPr>
              <w:t xml:space="preserve">Rata-rata |Return| (%)</w:t>
            </w:r>
          </w:p>
        </w:tc>
        <w:tc>
          <w:tcPr>
            <w:tcW w:w="1500" w:type="dxa"/>
            <w:shd w:val="clear" w:color="auto" w:fill="D9E2F3"/>
            <w:vAlign w:val="center"/>
          </w:tcPr>
          <w:p>
            <w:pPr>
              <w:keepNext/>
              <w:spacing w:before="30" w:after="30" w:line="240" w:lineRule="auto"/>
              <w:jc w:val="center"/>
            </w:pPr>
            <w:r>
              <w:rPr>
                <w:b/>
                <w:bCs/>
                <w:sz w:val="20"/>
                <w:szCs w:val="20"/>
              </w:rPr>
              <w:t xml:space="preserve">Jumlah Hari</w:t>
            </w:r>
          </w:p>
        </w:tc>
      </w:tr>
      <w:tr>
        <w:trPr>
          <w:cantSplit/>
        </w:trPr>
        <w:tc>
          <w:tcPr>
            <w:tcW w:w="2600" w:type="dxa"/>
            <w:vAlign w:val="center"/>
          </w:tcPr>
          <w:p>
            <w:pPr>
              <w:keepNext/>
              <w:spacing w:before="30" w:after="30" w:line="240" w:lineRule="auto"/>
              <w:jc w:val="left"/>
            </w:pPr>
            <w:r>
              <w:rPr>
                <w:sz w:val="20"/>
                <w:szCs w:val="20"/>
              </w:rPr>
              <w:t xml:space="preserve">Q1 (terendah)</w:t>
            </w:r>
          </w:p>
        </w:tc>
        <w:tc>
          <w:tcPr>
            <w:tcW w:w="2600" w:type="dxa"/>
            <w:vAlign w:val="center"/>
          </w:tcPr>
          <w:p>
            <w:pPr>
              <w:keepNext/>
              <w:spacing w:before="30" w:after="30" w:line="240" w:lineRule="auto"/>
              <w:jc w:val="center"/>
            </w:pPr>
            <w:r>
              <w:rPr>
                <w:sz w:val="20"/>
                <w:szCs w:val="20"/>
              </w:rPr>
              <w:t xml:space="preserve">11–57</w:t>
            </w:r>
          </w:p>
        </w:tc>
        <w:tc>
          <w:tcPr>
            <w:tcW w:w="2600" w:type="dxa"/>
            <w:vAlign w:val="center"/>
          </w:tcPr>
          <w:p>
            <w:pPr>
              <w:keepNext/>
              <w:spacing w:before="30" w:after="30" w:line="240" w:lineRule="auto"/>
              <w:jc w:val="center"/>
            </w:pPr>
            <w:r>
              <w:rPr>
                <w:sz w:val="20"/>
                <w:szCs w:val="20"/>
              </w:rPr>
              <w:t xml:space="preserve">0,67</w:t>
            </w:r>
          </w:p>
        </w:tc>
        <w:tc>
          <w:tcPr>
            <w:tcW w:w="1500" w:type="dxa"/>
            <w:vAlign w:val="center"/>
          </w:tcPr>
          <w:p>
            <w:pPr>
              <w:keepNext/>
              <w:spacing w:before="30" w:after="30" w:line="240" w:lineRule="auto"/>
              <w:jc w:val="center"/>
            </w:pPr>
            <w:r>
              <w:rPr>
                <w:sz w:val="20"/>
                <w:szCs w:val="20"/>
              </w:rPr>
              <w:t xml:space="preserve">327</w:t>
            </w:r>
          </w:p>
        </w:tc>
      </w:tr>
      <w:tr>
        <w:trPr>
          <w:cantSplit/>
        </w:trPr>
        <w:tc>
          <w:tcPr>
            <w:tcW w:w="2600" w:type="dxa"/>
            <w:vAlign w:val="center"/>
          </w:tcPr>
          <w:p>
            <w:pPr>
              <w:keepNext/>
              <w:spacing w:before="30" w:after="30" w:line="240" w:lineRule="auto"/>
              <w:jc w:val="left"/>
            </w:pPr>
            <w:r>
              <w:rPr>
                <w:sz w:val="20"/>
                <w:szCs w:val="20"/>
              </w:rPr>
              <w:t xml:space="preserve">Q2</w:t>
            </w:r>
          </w:p>
        </w:tc>
        <w:tc>
          <w:tcPr>
            <w:tcW w:w="2600" w:type="dxa"/>
            <w:vAlign w:val="center"/>
          </w:tcPr>
          <w:p>
            <w:pPr>
              <w:keepNext/>
              <w:spacing w:before="30" w:after="30" w:line="240" w:lineRule="auto"/>
              <w:jc w:val="center"/>
            </w:pPr>
            <w:r>
              <w:rPr>
                <w:sz w:val="20"/>
                <w:szCs w:val="20"/>
              </w:rPr>
              <w:t xml:space="preserve">57–74</w:t>
            </w:r>
          </w:p>
        </w:tc>
        <w:tc>
          <w:tcPr>
            <w:tcW w:w="2600" w:type="dxa"/>
            <w:vAlign w:val="center"/>
          </w:tcPr>
          <w:p>
            <w:pPr>
              <w:keepNext/>
              <w:spacing w:before="30" w:after="30" w:line="240" w:lineRule="auto"/>
              <w:jc w:val="center"/>
            </w:pPr>
            <w:r>
              <w:rPr>
                <w:sz w:val="20"/>
                <w:szCs w:val="20"/>
              </w:rPr>
              <w:t xml:space="preserve">0,91</w:t>
            </w:r>
          </w:p>
        </w:tc>
        <w:tc>
          <w:tcPr>
            <w:tcW w:w="1500" w:type="dxa"/>
            <w:vAlign w:val="center"/>
          </w:tcPr>
          <w:p>
            <w:pPr>
              <w:keepNext/>
              <w:spacing w:before="30" w:after="30" w:line="240" w:lineRule="auto"/>
              <w:jc w:val="center"/>
            </w:pPr>
            <w:r>
              <w:rPr>
                <w:sz w:val="20"/>
                <w:szCs w:val="20"/>
              </w:rPr>
              <w:t xml:space="preserve">326</w:t>
            </w:r>
          </w:p>
        </w:tc>
      </w:tr>
      <w:tr>
        <w:trPr>
          <w:cantSplit/>
        </w:trPr>
        <w:tc>
          <w:tcPr>
            <w:tcW w:w="2600" w:type="dxa"/>
            <w:vAlign w:val="center"/>
          </w:tcPr>
          <w:p>
            <w:pPr>
              <w:keepNext/>
              <w:spacing w:before="30" w:after="30" w:line="240" w:lineRule="auto"/>
              <w:jc w:val="left"/>
            </w:pPr>
            <w:r>
              <w:rPr>
                <w:sz w:val="20"/>
                <w:szCs w:val="20"/>
              </w:rPr>
              <w:t xml:space="preserve">Q3</w:t>
            </w:r>
          </w:p>
        </w:tc>
        <w:tc>
          <w:tcPr>
            <w:tcW w:w="2600" w:type="dxa"/>
            <w:vAlign w:val="center"/>
          </w:tcPr>
          <w:p>
            <w:pPr>
              <w:keepNext/>
              <w:spacing w:before="30" w:after="30" w:line="240" w:lineRule="auto"/>
              <w:jc w:val="center"/>
            </w:pPr>
            <w:r>
              <w:rPr>
                <w:sz w:val="20"/>
                <w:szCs w:val="20"/>
              </w:rPr>
              <w:t xml:space="preserve">74–94</w:t>
            </w:r>
          </w:p>
        </w:tc>
        <w:tc>
          <w:tcPr>
            <w:tcW w:w="2600" w:type="dxa"/>
            <w:vAlign w:val="center"/>
          </w:tcPr>
          <w:p>
            <w:pPr>
              <w:keepNext/>
              <w:spacing w:before="30" w:after="30" w:line="240" w:lineRule="auto"/>
              <w:jc w:val="center"/>
            </w:pPr>
            <w:r>
              <w:rPr>
                <w:sz w:val="20"/>
                <w:szCs w:val="20"/>
              </w:rPr>
              <w:t xml:space="preserve">1,05</w:t>
            </w:r>
          </w:p>
        </w:tc>
        <w:tc>
          <w:tcPr>
            <w:tcW w:w="1500" w:type="dxa"/>
            <w:vAlign w:val="center"/>
          </w:tcPr>
          <w:p>
            <w:pPr>
              <w:keepNext/>
              <w:spacing w:before="30" w:after="30" w:line="240" w:lineRule="auto"/>
              <w:jc w:val="center"/>
            </w:pPr>
            <w:r>
              <w:rPr>
                <w:sz w:val="20"/>
                <w:szCs w:val="20"/>
              </w:rPr>
              <w:t xml:space="preserve">326</w:t>
            </w:r>
          </w:p>
        </w:tc>
      </w:tr>
      <w:tr>
        <w:trPr>
          <w:cantSplit/>
        </w:trPr>
        <w:tc>
          <w:tcPr>
            <w:tcW w:w="2600" w:type="dxa"/>
            <w:vAlign w:val="center"/>
          </w:tcPr>
          <w:p>
            <w:pPr>
              <w:keepNext/>
              <w:spacing w:before="30" w:after="30" w:line="240" w:lineRule="auto"/>
              <w:jc w:val="left"/>
            </w:pPr>
            <w:r>
              <w:rPr>
                <w:sz w:val="20"/>
                <w:szCs w:val="20"/>
              </w:rPr>
              <w:t xml:space="preserve">Q4</w:t>
            </w:r>
          </w:p>
        </w:tc>
        <w:tc>
          <w:tcPr>
            <w:tcW w:w="2600" w:type="dxa"/>
            <w:vAlign w:val="center"/>
          </w:tcPr>
          <w:p>
            <w:pPr>
              <w:keepNext/>
              <w:spacing w:before="30" w:after="30" w:line="240" w:lineRule="auto"/>
              <w:jc w:val="center"/>
            </w:pPr>
            <w:r>
              <w:rPr>
                <w:sz w:val="20"/>
                <w:szCs w:val="20"/>
              </w:rPr>
              <w:t xml:space="preserve">94–133</w:t>
            </w:r>
          </w:p>
        </w:tc>
        <w:tc>
          <w:tcPr>
            <w:tcW w:w="2600" w:type="dxa"/>
            <w:vAlign w:val="center"/>
          </w:tcPr>
          <w:p>
            <w:pPr>
              <w:keepNext/>
              <w:spacing w:before="30" w:after="30" w:line="240" w:lineRule="auto"/>
              <w:jc w:val="center"/>
            </w:pPr>
            <w:r>
              <w:rPr>
                <w:sz w:val="20"/>
                <w:szCs w:val="20"/>
              </w:rPr>
              <w:t xml:space="preserve">1,21</w:t>
            </w:r>
          </w:p>
        </w:tc>
        <w:tc>
          <w:tcPr>
            <w:tcW w:w="1500" w:type="dxa"/>
            <w:vAlign w:val="center"/>
          </w:tcPr>
          <w:p>
            <w:pPr>
              <w:keepNext/>
              <w:spacing w:before="30" w:after="30" w:line="240" w:lineRule="auto"/>
              <w:jc w:val="center"/>
            </w:pPr>
            <w:r>
              <w:rPr>
                <w:sz w:val="20"/>
                <w:szCs w:val="20"/>
              </w:rPr>
              <w:t xml:space="preserve">326</w:t>
            </w:r>
          </w:p>
        </w:tc>
      </w:tr>
      <w:tr>
        <w:trPr>
          <w:cantSplit/>
        </w:trPr>
        <w:tc>
          <w:tcPr>
            <w:tcW w:w="2600" w:type="dxa"/>
            <w:vAlign w:val="center"/>
          </w:tcPr>
          <w:p>
            <w:pPr>
              <w:spacing w:before="30" w:after="30" w:line="240" w:lineRule="auto"/>
              <w:jc w:val="left"/>
            </w:pPr>
            <w:r>
              <w:rPr>
                <w:sz w:val="20"/>
                <w:szCs w:val="20"/>
              </w:rPr>
              <w:t xml:space="preserve">Q5 (tertinggi)</w:t>
            </w:r>
          </w:p>
        </w:tc>
        <w:tc>
          <w:tcPr>
            <w:tcW w:w="2600" w:type="dxa"/>
            <w:vAlign w:val="center"/>
          </w:tcPr>
          <w:p>
            <w:pPr>
              <w:spacing w:before="30" w:after="30" w:line="240" w:lineRule="auto"/>
              <w:jc w:val="center"/>
            </w:pPr>
            <w:r>
              <w:rPr>
                <w:sz w:val="20"/>
                <w:szCs w:val="20"/>
              </w:rPr>
              <w:t xml:space="preserve">133–1.433</w:t>
            </w:r>
          </w:p>
        </w:tc>
        <w:tc>
          <w:tcPr>
            <w:tcW w:w="2600" w:type="dxa"/>
            <w:vAlign w:val="center"/>
          </w:tcPr>
          <w:p>
            <w:pPr>
              <w:spacing w:before="30" w:after="30" w:line="240" w:lineRule="auto"/>
              <w:jc w:val="center"/>
            </w:pPr>
            <w:r>
              <w:rPr>
                <w:sz w:val="20"/>
                <w:szCs w:val="20"/>
              </w:rPr>
              <w:t xml:space="preserve">2,31</w:t>
            </w:r>
          </w:p>
        </w:tc>
        <w:tc>
          <w:tcPr>
            <w:tcW w:w="1500" w:type="dxa"/>
            <w:vAlign w:val="center"/>
          </w:tcPr>
          <w:p>
            <w:pPr>
              <w:spacing w:before="30" w:after="30" w:line="240" w:lineRule="auto"/>
              <w:jc w:val="center"/>
            </w:pPr>
            <w:r>
              <w:rPr>
                <w:sz w:val="20"/>
                <w:szCs w:val="20"/>
              </w:rPr>
              <w:t xml:space="preserve">327</w:t>
            </w:r>
          </w:p>
        </w:tc>
      </w:tr>
    </w:tbl>
    <w:p>
      <w:pPr>
        <w:spacing w:before="0" w:after="120" w:line="240" w:lineRule="auto"/>
      </w:pPr>
    </w:p>
    <w:p>
      <w:pPr>
        <w:spacing w:before="0" w:after="160" w:line="300" w:lineRule="auto"/>
        <w:ind w:firstLine="576"/>
        <w:jc w:val="both"/>
      </w:pPr>
      <w:r>
        <w:rPr>
          <w:b/>
          <w:bCs/>
        </w:rPr>
        <w:t xml:space="preserve">Interpretasi.</w:t>
      </w:r>
      <w:r>
        <w:rPr/>
        <w:t xml:space="preserve"> Titik-titik cenderung naik ke kanan: hari dengan volume tinggi umumnya disertai pergerakan harga yang besar. Korelasi Pearson sebesar 0,54 dan Spearman 0,39 menunjukkan hubungan positif sedang. Pola ini terlihat jelas ketika data dibagi menjadi lima kelompok volume: rata-rata pergerakan harga pada 20% hari dengan volume tertinggi (2,31%) sekitar 3,5 kali lipat dibandingkan 20% hari dengan volume terendah (0,67%). Titik-titik tahun 2026 (kuning) banyak berada di sisi kanan atas, termasuk 16 Oktober 2026 ketika volume mencapai 1,24 miliar lembar dan harga turun 14,8%. Hubungan ini bersifat asosiatif: volume tinggi tidak menyebabkan harga bergerak, keduanya sama-sama mencerminkan hari yang ramai oleh informasi atau aksi jual beli besar.</w:t>
      </w:r>
    </w:p>
    <w:p>
      <w:pPr>
        <w:keepNext/>
        <w:spacing w:before="200" w:after="120"/>
        <w:outlineLvl w:val="1"/>
      </w:pPr>
      <w:r>
        <w:rPr>
          <w:b/>
          <w:bCs/>
        </w:rPr>
        <w:t xml:space="preserve">8.7 Visualisasi 5: Pola Return Bulanan</w:t>
      </w:r>
    </w:p>
    <w:p>
      <w:pPr>
        <w:spacing w:before="0" w:after="160" w:line="300" w:lineRule="auto"/>
        <w:ind w:firstLine="576"/>
        <w:jc w:val="both"/>
      </w:pPr>
      <w:r>
        <w:rPr/>
        <w:t xml:space="preserve">Heatmap menampilkan return setiap bulan dengan baris sebagai tahun dan kolom sebagai bulan. Warna hijau menandakan kenaikan dan merah menandakan penurunan.</w:t>
      </w:r>
    </w:p>
    <w:p>
      <w:pPr>
        <w:keepNext/>
        <w:spacing w:before="120" w:after="0"/>
        <w:jc w:val="center"/>
      </w:pPr>
      <w:r>
        <w:drawing>
          <wp:inline distT="0" distB="0" distL="0" distR="0">
            <wp:extent cx="5832000" cy="2467573"/>
            <wp:docPr id="209" name="Gambar 9"/>
            <wp:cNvGraphicFramePr>
              <a:graphicFrameLocks noChangeAspect="1"/>
            </wp:cNvGraphicFramePr>
            <a:graphic>
              <a:graphicData uri="http://schemas.openxmlformats.org/drawingml/2006/picture">
                <pic:pic>
                  <pic:nvPicPr>
                    <pic:cNvPr id="209" name="img9.png"/>
                    <pic:cNvPicPr/>
                  </pic:nvPicPr>
                  <pic:blipFill>
                    <a:blip r:embed="rIdImg9"/>
                    <a:stretch>
                      <a:fillRect/>
                    </a:stretch>
                  </pic:blipFill>
                  <pic:spPr>
                    <a:xfrm>
                      <a:off x="0" y="0"/>
                      <a:ext cx="5832000" cy="2467573"/>
                    </a:xfrm>
                    <a:prstGeom prst="rect">
                      <a:avLst/>
                    </a:prstGeom>
                  </pic:spPr>
                </pic:pic>
              </a:graphicData>
            </a:graphic>
          </wp:inline>
        </w:drawing>
      </w:r>
    </w:p>
    <w:p>
      <w:pPr>
        <w:spacing w:before="60" w:after="220"/>
        <w:jc w:val="center"/>
      </w:pPr>
      <w:r>
        <w:rPr>
          <w:i/>
          <w:iCs/>
          <w:sz w:val="20"/>
          <w:szCs w:val="20"/>
        </w:rPr>
        <w:t xml:space="preserve">Gambar </w:t>
      </w:r>
      <w:r>
        <w:rPr>
          <w:i/>
          <w:sz w:val="20"/>
        </w:rPr>
        <w:fldChar w:fldCharType="begin"/>
      </w:r>
      <w:r>
        <w:rPr>
          <w:i/>
          <w:sz w:val="20"/>
        </w:rPr>
        <w:instrText xml:space="preserve"> SEQ Gambar \* ARABIC </w:instrText>
      </w:r>
      <w:r>
        <w:rPr>
          <w:i/>
          <w:sz w:val="20"/>
        </w:rPr>
        <w:fldChar w:fldCharType="separate"/>
      </w:r>
      <w:r>
        <w:rPr>
          <w:i/>
          <w:iCs/>
          <w:sz w:val="20"/>
          <w:szCs w:val="20"/>
        </w:rPr>
        <w:t>9</w:t>
      </w:r>
      <w:r>
        <w:rPr>
          <w:i/>
          <w:sz w:val="20"/>
        </w:rPr>
        <w:fldChar w:fldCharType="end"/>
      </w:r>
      <w:r>
        <w:rPr>
          <w:i/>
          <w:iCs/>
          <w:sz w:val="20"/>
          <w:szCs w:val="20"/>
        </w:rPr>
        <w:t xml:space="preserve">. Heatmap return bulanan saham BBCA (%)</w:t>
      </w:r>
    </w:p>
    <w:p>
      <w:pPr>
        <w:spacing w:before="0" w:after="160" w:line="300" w:lineRule="auto"/>
        <w:ind w:firstLine="576"/>
        <w:jc w:val="both"/>
      </w:pPr>
      <w:r>
        <w:rPr>
          <w:b/>
          <w:bCs/>
        </w:rPr>
        <w:t xml:space="preserve">Interpretasi.</w:t>
      </w:r>
      <w:r>
        <w:rPr/>
        <w:t xml:space="preserve"> Agustus merupakan bulan yang paling konsisten, dengan kenaikan pada 6 dari 7 tahun (rata-rata +2,98%). Sebaliknya, Maret hanya naik pada 2 dari 7 tahun (turun 4 kali dan tetap 1 kali; rata-rata −3,95%), dipengaruhi kejatuhan Maret 2020 (−12,2%) dan Maret 2026 (−10,1%). Juli memiliki rata-rata tertinggi (+3,56%), tetapi angka ini terutama ditarik oleh kenaikan tunggal +16,2% pada Juli 2026, sehingga tidak mencerminkan pola yang konsisten. Baris 2026 didominasi warna merah: 8 dari 10 bulan tercatat negatif. Karena hanya tersedia tujuh tahun data, pola musiman ini masih lemah dan tidak dapat dijadikan dasar keputusan tunggal.</w:t>
      </w:r>
    </w:p>
    <w:p>
      <w:pPr>
        <w:keepNext/>
        <w:spacing w:before="200" w:after="120"/>
        <w:outlineLvl w:val="1"/>
      </w:pPr>
      <w:r>
        <w:rPr>
          <w:b/>
          <w:bCs/>
        </w:rPr>
        <w:t xml:space="preserve">8.8 Ringkasan Temuan dan Rekomendasi</w:t>
      </w:r>
    </w:p>
    <w:p>
      <w:pPr>
        <w:spacing w:before="0" w:after="160" w:line="300" w:lineRule="auto"/>
        <w:ind w:firstLine="576"/>
        <w:jc w:val="both"/>
      </w:pPr>
      <w:r>
        <w:rPr/>
        <w:t xml:space="preserve">Ringkasan temuan utama dari kelima visualisasi:</w:t>
      </w:r>
    </w:p>
    <w:p>
      <w:pPr>
        <w:spacing w:before="0" w:after="60" w:line="300" w:lineRule="auto"/>
        <w:ind w:left="576" w:hanging="360"/>
        <w:jc w:val="both"/>
      </w:pPr>
      <w:r>
        <w:rPr/>
        <w:t xml:space="preserve">•	Selama 2 Januari 2020 – 28 Oktober 2026 harga BBCA turun 21,2% (rata-rata −3,4% per tahun), meskipun sempat naik 147% dari titik terendah Maret 2020 ke puncak September 2024.</w:t>
      </w:r>
    </w:p>
    <w:p>
      <w:pPr>
        <w:spacing w:before="0" w:after="60" w:line="300" w:lineRule="auto"/>
        <w:ind w:left="576" w:hanging="360"/>
        <w:jc w:val="both"/>
      </w:pPr>
      <w:r>
        <w:rPr/>
        <w:t xml:space="preserve">•	Tren berbalik turun sejak akhir 2024; harga berada di bawah MA200 sejak November 2025 dan mencapai drawdown 56,0% pada Oktober 2026.</w:t>
      </w:r>
    </w:p>
    <w:p>
      <w:pPr>
        <w:spacing w:before="0" w:after="60" w:line="300" w:lineRule="auto"/>
        <w:ind w:left="576" w:hanging="360"/>
        <w:jc w:val="both"/>
      </w:pPr>
      <w:r>
        <w:rPr/>
        <w:t xml:space="preserve">•	Risiko meningkat tajam pada 2025–2026: volatilitas 2026 sebesar 42,0%, tertinggi selama periode pengamatan, disertai volume yang melonjak.</w:t>
      </w:r>
    </w:p>
    <w:p>
      <w:pPr>
        <w:spacing w:before="0" w:after="140" w:line="300" w:lineRule="auto"/>
        <w:ind w:left="576" w:hanging="360"/>
        <w:jc w:val="both"/>
      </w:pPr>
      <w:r>
        <w:rPr/>
        <w:t xml:space="preserve">•	Pergerakan harga yang besar umumnya terjadi pada hari dengan volume tinggi.</w:t>
      </w:r>
    </w:p>
    <w:p>
      <w:pPr>
        <w:spacing w:before="0" w:after="160" w:line="300" w:lineRule="auto"/>
        <w:ind w:firstLine="576"/>
        <w:jc w:val="both"/>
      </w:pPr>
      <w:r>
        <w:rPr/>
        <w:t xml:space="preserve">Berdasarkan temuan tersebut, berikut rekomendasi bagi investor atau analis yang memantau saham BBCA. Rekomendasi ini merupakan implikasi dari analisis deskriptif data historis, </w:t>
      </w:r>
      <w:r>
        <w:rPr>
          <w:b/>
          <w:bCs/>
        </w:rPr>
        <w:t xml:space="preserve">bukan saran investasi</w:t>
      </w:r>
      <w:r>
        <w:rPr/>
        <w:t xml:space="preserve">, dan tidak memprediksi harga di masa depan.</w:t>
      </w:r>
    </w:p>
    <w:p>
      <w:pPr>
        <w:spacing w:before="0" w:after="60" w:line="300" w:lineRule="auto"/>
        <w:ind w:left="576" w:hanging="360"/>
        <w:jc w:val="both"/>
      </w:pPr>
      <w:r>
        <w:rPr/>
        <w:t xml:space="preserve">1.	</w:t>
      </w:r>
      <w:r>
        <w:rPr>
          <w:b/>
          <w:bCs/>
        </w:rPr>
        <w:t xml:space="preserve">Gunakan MA200 sebagai penanda arah tren.</w:t>
      </w:r>
      <w:r>
        <w:rPr/>
        <w:t xml:space="preserve"> Selama harga masih berada di bawah MA200 yang menurun, tren jangka menengah masih turun. Penambahan posisi dalam jumlah besar sebaiknya menunggu tanda pembalikan, misalnya harga kembali bertahan di atas MA200.</w:t>
      </w:r>
    </w:p>
    <w:p>
      <w:pPr>
        <w:spacing w:before="0" w:after="60" w:line="300" w:lineRule="auto"/>
        <w:ind w:left="576" w:hanging="360"/>
        <w:jc w:val="both"/>
      </w:pPr>
      <w:r>
        <w:rPr/>
        <w:t xml:space="preserve">2.	</w:t>
      </w:r>
      <w:r>
        <w:rPr>
          <w:b/>
          <w:bCs/>
        </w:rPr>
        <w:t xml:space="preserve">Sesuaikan ukuran posisi dengan tingkat risiko saat ini.</w:t>
      </w:r>
      <w:r>
        <w:rPr/>
        <w:t xml:space="preserve"> Volatilitas 2026 lebih dari dua kali lipat volatilitas 2023, dan drawdown mencapai 56%. Pembelian bertahap dan diversifikasi ke aset lain dapat membatasi dampak pergerakan ekstrem seperti yang terjadi pada 16 Oktober 2026.</w:t>
      </w:r>
    </w:p>
    <w:p>
      <w:pPr>
        <w:spacing w:before="0" w:after="60" w:line="300" w:lineRule="auto"/>
        <w:ind w:left="576" w:hanging="360"/>
        <w:jc w:val="both"/>
      </w:pPr>
      <w:r>
        <w:rPr/>
        <w:t xml:space="preserve">3.	</w:t>
      </w:r>
      <w:r>
        <w:rPr>
          <w:b/>
          <w:bCs/>
        </w:rPr>
        <w:t xml:space="preserve">Jadikan lonjakan volume sebagai sinyal untuk waspada.</w:t>
      </w:r>
      <w:r>
        <w:rPr/>
        <w:t xml:space="preserve"> Hari dengan volume tinggi rata-rata bergerak 3,5 kali lebih besar. Volume yang melonjak jauh di atas rata-rata perlu ditanggapi dengan memeriksa berita dan informasi terbaru sebelum mengambil keputusan.</w:t>
      </w:r>
    </w:p>
    <w:p>
      <w:pPr>
        <w:spacing w:before="0" w:after="140" w:line="300" w:lineRule="auto"/>
        <w:ind w:left="576" w:hanging="360"/>
        <w:jc w:val="both"/>
      </w:pPr>
      <w:r>
        <w:rPr/>
        <w:t xml:space="preserve">4.	</w:t>
      </w:r>
      <w:r>
        <w:rPr>
          <w:b/>
          <w:bCs/>
        </w:rPr>
        <w:t xml:space="preserve">Jangan mengandalkan pola musiman.</w:t>
      </w:r>
      <w:r>
        <w:rPr/>
        <w:t xml:space="preserve"> Kecenderungan Agustus naik dan Maret turun hanya didukung tujuh tahun data dan sangat dipengaruhi peristiwa tunggal, sehingga hanya layak menjadi informasi pelengkap.</w:t>
      </w:r>
    </w:p>
    <w:p>
      <w:pPr>
        <w:keepNext/>
        <w:pageBreakBefore/>
        <w:spacing w:before="320" w:after="160"/>
        <w:outlineLvl w:val="0"/>
      </w:pPr>
      <w:r>
        <w:rPr>
          <w:b/>
          <w:bCs/>
          <w:sz w:val="26"/>
          <w:szCs w:val="26"/>
        </w:rPr>
        <w:t xml:space="preserve">9. Kesimpulan</w:t>
      </w:r>
    </w:p>
    <w:p>
      <w:pPr>
        <w:spacing w:before="0" w:after="160" w:line="300" w:lineRule="auto"/>
        <w:ind w:firstLine="576"/>
        <w:jc w:val="both"/>
      </w:pPr>
      <w:r>
        <w:rPr/>
        <w:t xml:space="preserve">Kelima soal UTS menunjukkan bahwa pemilihan grafik yang tepat membuat angka lebih mudah dipahami dan ditindaklanjuti. Pada Soal 2 dan 3, bar chart dan line chart dengan penanda warna langsung menunjukkan produk unggulan, produk yang perlu dievaluasi, serta satu-satunya penurunan penjualan pada bulan April di tengah kenaikan 120%. Pada Soal 4, scatter plot dan heatmap memperlihatkan hubungan yang sangat erat antara jam belajar, kehadiran, dan nilai ujian, tetapi korelasi tersebut tidak dapat diartikan sebagai sebab-akibat.</w:t>
      </w:r>
    </w:p>
    <w:p>
      <w:pPr>
        <w:spacing w:before="0" w:after="160" w:line="300" w:lineRule="auto"/>
        <w:ind w:firstLine="576"/>
        <w:jc w:val="both"/>
      </w:pPr>
      <w:r>
        <w:rPr/>
        <w:t xml:space="preserve">Pada Soal 5, analisis 1.633 hari bursa saham BBCA menunjukkan dua fase yang sangat berbeda: kenaikan bertahap dari titik terendah Maret 2020 hingga puncak September 2024, lalu penurunan tajam pada 2025–2026 yang menghapus seluruh kenaikan tersebut dan membawa harga 21,2% di bawah posisi awal 2020. Fase penurunan disertai lonjakan volatilitas dan volume, dan secara umum pergerakan harga yang besar beriringan dengan volume tinggi. Seluruh hubungan yang ditemukan bersifat deskriptif dan asosiatif, tetapi cukup jelas untuk dijadikan bahan pertimbangan dalam pemantauan tren dan pengelolaan risiko.</w:t>
      </w:r>
    </w:p>
    <w:p>
      <w:pPr>
        <w:keepNext/>
        <w:spacing w:before="320" w:after="160"/>
        <w:outlineLvl w:val="0"/>
      </w:pPr>
      <w:r>
        <w:rPr>
          <w:b/>
          <w:bCs/>
          <w:sz w:val="26"/>
          <w:szCs w:val="26"/>
        </w:rPr>
        <w:t xml:space="preserve">10. Keterbatasan dan Saran</w:t>
      </w:r>
    </w:p>
    <w:p>
      <w:pPr>
        <w:spacing w:before="0" w:after="60" w:line="300" w:lineRule="auto"/>
        <w:ind w:left="576" w:hanging="360"/>
        <w:jc w:val="both"/>
      </w:pPr>
      <w:r>
        <w:rPr/>
        <w:t xml:space="preserve">•	Data Soal 2 sampai 4 sangat kecil (5–6 data), sehingga kesimpulannya hanya berlaku untuk contoh pada soal.</w:t>
      </w:r>
    </w:p>
    <w:p>
      <w:pPr>
        <w:spacing w:before="0" w:after="60" w:line="300" w:lineRule="auto"/>
        <w:ind w:left="576" w:hanging="360"/>
        <w:jc w:val="both"/>
      </w:pPr>
      <w:r>
        <w:rPr/>
        <w:t xml:space="preserve">•	Data saham disusun dari dua sumber (Investing.com dan Yahoo Finance). Kecocokan keduanya sudah diperiksa pada 129 hari yang tumpang tindih, tetapi sumber tunggal tetap lebih ideal.</w:t>
      </w:r>
    </w:p>
    <w:p>
      <w:pPr>
        <w:spacing w:before="0" w:after="60" w:line="300" w:lineRule="auto"/>
        <w:ind w:left="576" w:hanging="360"/>
        <w:jc w:val="both"/>
      </w:pPr>
      <w:r>
        <w:rPr/>
        <w:t xml:space="preserve">•	Harga yang dianalisis adalah harga penutupan yang belum disesuaikan dengan dividen, sehingga return pada laporan ini belum memperhitungkan imbal hasil dividen.</w:t>
      </w:r>
    </w:p>
    <w:p>
      <w:pPr>
        <w:spacing w:before="0" w:after="60" w:line="300" w:lineRule="auto"/>
        <w:ind w:left="576" w:hanging="360"/>
        <w:jc w:val="both"/>
      </w:pPr>
      <w:r>
        <w:rPr/>
        <w:t xml:space="preserve">•	Terdapat beberapa hari bursa yang tidak tercatat, terutama antara 30 Juli dan 12 Agustus 2026, dan data 2026 hanya sampai 28 Oktober.</w:t>
      </w:r>
    </w:p>
    <w:p>
      <w:pPr>
        <w:spacing w:before="0" w:after="60" w:line="300" w:lineRule="auto"/>
        <w:ind w:left="576" w:hanging="360"/>
        <w:jc w:val="both"/>
      </w:pPr>
      <w:r>
        <w:rPr/>
        <w:t xml:space="preserve">•	Analisis tidak menyertakan data fundamental, berita, maupun kondisi makroekonomi, sehingga penyebab penurunan harga 2025–2026 tidak dapat disimpulkan dari data ini.</w:t>
      </w:r>
    </w:p>
    <w:p>
      <w:pPr>
        <w:spacing w:before="0" w:after="140" w:line="300" w:lineRule="auto"/>
        <w:ind w:left="576" w:hanging="360"/>
        <w:jc w:val="both"/>
      </w:pPr>
      <w:r>
        <w:rPr/>
        <w:t xml:space="preserve">•	Saran pengembangan: menggunakan harga yang disesuaikan dividen (</w:t>
      </w:r>
      <w:r>
        <w:rPr>
          <w:i/>
          <w:iCs/>
        </w:rPr>
        <w:t xml:space="preserve">adjusted close</w:t>
      </w:r>
      <w:r>
        <w:rPr/>
        <w:t xml:space="preserve">), membandingkan BBCA dengan IHSG atau saham bank lain, serta menambahkan data fundamental dan berita untuk menjelaskan penyebab perubahan harga.</w:t>
      </w:r>
    </w:p>
    <w:p>
      <w:pPr>
        <w:keepNext/>
        <w:spacing w:before="320" w:after="160"/>
        <w:outlineLvl w:val="0"/>
      </w:pPr>
      <w:r>
        <w:rPr>
          <w:b/>
          <w:bCs/>
          <w:sz w:val="26"/>
          <w:szCs w:val="26"/>
        </w:rPr>
        <w:t xml:space="preserve">Lampiran</w:t>
      </w:r>
    </w:p>
    <w:p>
      <w:pPr>
        <w:spacing w:before="0" w:after="160" w:line="300" w:lineRule="auto"/>
        <w:ind w:firstLine="576"/>
        <w:jc w:val="both"/>
      </w:pPr>
      <w:r>
        <w:rPr/>
        <w:t xml:space="preserve">Laporan ini dilampiri berkas berikut:</w:t>
      </w:r>
    </w:p>
    <w:p>
      <w:pPr>
        <w:spacing w:before="0" w:after="60" w:line="300" w:lineRule="auto"/>
        <w:ind w:left="576" w:hanging="360"/>
        <w:jc w:val="both"/>
      </w:pPr>
      <w:r>
        <w:rPr/>
        <w:t xml:space="preserve">1.	Notebook Python </w:t>
      </w:r>
      <w:r>
        <w:rPr>
          <w:rFonts w:ascii="Courier New" w:hAnsi="Courier New" w:cs="Courier New"/>
          <w:sz w:val="22"/>
          <w:szCs w:val="22"/>
        </w:rPr>
        <w:t xml:space="preserve">231101037_Moch_Rifan_Fatoni_UTS_Visualisasi_Data_Saham_BBCA.ipynb</w:t>
      </w:r>
      <w:r>
        <w:rPr/>
        <w:t xml:space="preserve"> berisi seluruh kode, keluaran, dan visualisasi Soal 1 sampai Soal 5.</w:t>
      </w:r>
    </w:p>
    <w:p>
      <w:pPr>
        <w:spacing w:before="0" w:after="60" w:line="300" w:lineRule="auto"/>
        <w:ind w:left="576" w:hanging="360"/>
        <w:jc w:val="both"/>
      </w:pPr>
      <w:r>
        <w:rPr/>
        <w:t xml:space="preserve">2.	Dataset </w:t>
      </w:r>
      <w:r>
        <w:rPr>
          <w:rFonts w:ascii="Courier New" w:hAnsi="Courier New" w:cs="Courier New"/>
          <w:sz w:val="22"/>
          <w:szCs w:val="22"/>
        </w:rPr>
        <w:t xml:space="preserve">BBCA_JK_2020_2026.csv</w:t>
      </w:r>
      <w:r>
        <w:rPr/>
        <w:t xml:space="preserve"> yang digunakan pada Soal 5.</w:t>
      </w:r>
    </w:p>
    <w:p>
      <w:pPr>
        <w:spacing w:before="0" w:after="140" w:line="300" w:lineRule="auto"/>
        <w:ind w:left="576" w:hanging="360"/>
        <w:jc w:val="both"/>
      </w:pPr>
      <w:r>
        <w:rPr/>
        <w:t xml:space="preserve">3.	Berkas </w:t>
      </w:r>
      <w:r>
        <w:rPr>
          <w:rFonts w:ascii="Courier New" w:hAnsi="Courier New" w:cs="Courier New"/>
          <w:sz w:val="22"/>
          <w:szCs w:val="22"/>
        </w:rPr>
        <w:t xml:space="preserve">Ringkasan_Analisis_Saham_BBCA.xlsx</w:t>
      </w:r>
      <w:r>
        <w:rPr/>
        <w:t xml:space="preserve"> yang dihasilkan notebook, berisi ringkasan tahunan, return bulanan, dan data harian beserta variabel turunannya.</w:t>
      </w:r>
    </w:p>
    <w:sectPr>
      <w:footerReference w:type="default" r:id="rIdFtr1"/>
      <w:footerReference w:type="first" r:id="rIdFtr2"/>
      <w:pgSz w:w="11906" w:h="16838"/>
      <w:pgMar w:top="1296" w:right="1296" w:bottom="1296"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5D70C" w14:textId="77777777" w:rsidR="007E41E0" w:rsidRDefault="007E41E0">
      <w:r>
        <w:separator/>
      </w:r>
    </w:p>
  </w:endnote>
  <w:endnote w:type="continuationSeparator" w:id="0">
    <w:p w14:paraId="40C8FE32" w14:textId="77777777" w:rsidR="007E41E0" w:rsidRDefault="007E4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A202B" w14:textId="77777777" w:rsidR="008413AB" w:rsidRDefault="00000000">
    <w:pPr>
      <w:jc w:val="center"/>
    </w:pPr>
    <w:r>
      <w:fldChar w:fldCharType="begin"/>
    </w:r>
    <w:r>
      <w:instrText>PAGE</w:instrText>
    </w:r>
    <w:r>
      <w:fldChar w:fldCharType="separate"/>
    </w:r>
    <w:r w:rsidR="00EE3A8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E2D9C" w14:textId="77777777" w:rsidR="007E41E0" w:rsidRDefault="007E41E0">
      <w:r>
        <w:separator/>
      </w:r>
    </w:p>
  </w:footnote>
  <w:footnote w:type="continuationSeparator" w:id="0">
    <w:p w14:paraId="440F6236" w14:textId="77777777" w:rsidR="007E41E0" w:rsidRDefault="007E4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46D"/>
    <w:multiLevelType w:val="multilevel"/>
    <w:tmpl w:val="8DE04D6C"/>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F5D74E7"/>
    <w:multiLevelType w:val="multilevel"/>
    <w:tmpl w:val="22EE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126B63"/>
    <w:multiLevelType w:val="multilevel"/>
    <w:tmpl w:val="FB42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772F35"/>
    <w:multiLevelType w:val="multilevel"/>
    <w:tmpl w:val="82A2283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5C725F"/>
    <w:multiLevelType w:val="hybridMultilevel"/>
    <w:tmpl w:val="FB86CEE6"/>
    <w:lvl w:ilvl="0" w:tplc="EDDEE0D6">
      <w:start w:val="1"/>
      <w:numFmt w:val="bullet"/>
      <w:lvlText w:val="●"/>
      <w:lvlJc w:val="left"/>
      <w:pPr>
        <w:ind w:left="720" w:hanging="360"/>
      </w:pPr>
    </w:lvl>
    <w:lvl w:ilvl="1" w:tplc="F2704222">
      <w:start w:val="1"/>
      <w:numFmt w:val="bullet"/>
      <w:lvlText w:val="○"/>
      <w:lvlJc w:val="left"/>
      <w:pPr>
        <w:ind w:left="1440" w:hanging="360"/>
      </w:pPr>
    </w:lvl>
    <w:lvl w:ilvl="2" w:tplc="5F78E3B6">
      <w:start w:val="1"/>
      <w:numFmt w:val="bullet"/>
      <w:lvlText w:val="■"/>
      <w:lvlJc w:val="left"/>
      <w:pPr>
        <w:ind w:left="2160" w:hanging="360"/>
      </w:pPr>
    </w:lvl>
    <w:lvl w:ilvl="3" w:tplc="54E071EC">
      <w:start w:val="1"/>
      <w:numFmt w:val="bullet"/>
      <w:lvlText w:val="●"/>
      <w:lvlJc w:val="left"/>
      <w:pPr>
        <w:ind w:left="2880" w:hanging="360"/>
      </w:pPr>
    </w:lvl>
    <w:lvl w:ilvl="4" w:tplc="F1E6CDA8">
      <w:start w:val="1"/>
      <w:numFmt w:val="bullet"/>
      <w:lvlText w:val="○"/>
      <w:lvlJc w:val="left"/>
      <w:pPr>
        <w:ind w:left="3600" w:hanging="360"/>
      </w:pPr>
    </w:lvl>
    <w:lvl w:ilvl="5" w:tplc="62A8375E">
      <w:start w:val="1"/>
      <w:numFmt w:val="bullet"/>
      <w:lvlText w:val="■"/>
      <w:lvlJc w:val="left"/>
      <w:pPr>
        <w:ind w:left="4320" w:hanging="360"/>
      </w:pPr>
    </w:lvl>
    <w:lvl w:ilvl="6" w:tplc="6520FF2E">
      <w:start w:val="1"/>
      <w:numFmt w:val="bullet"/>
      <w:lvlText w:val="●"/>
      <w:lvlJc w:val="left"/>
      <w:pPr>
        <w:ind w:left="5040" w:hanging="360"/>
      </w:pPr>
    </w:lvl>
    <w:lvl w:ilvl="7" w:tplc="2C0AF828">
      <w:start w:val="1"/>
      <w:numFmt w:val="bullet"/>
      <w:lvlText w:val="●"/>
      <w:lvlJc w:val="left"/>
      <w:pPr>
        <w:ind w:left="5760" w:hanging="360"/>
      </w:pPr>
    </w:lvl>
    <w:lvl w:ilvl="8" w:tplc="BCB6129E">
      <w:start w:val="1"/>
      <w:numFmt w:val="bullet"/>
      <w:lvlText w:val="●"/>
      <w:lvlJc w:val="left"/>
      <w:pPr>
        <w:ind w:left="6480" w:hanging="360"/>
      </w:pPr>
    </w:lvl>
  </w:abstractNum>
  <w:abstractNum w:abstractNumId="5" w15:restartNumberingAfterBreak="0">
    <w:nsid w:val="0294B860"/>
    <w:multiLevelType w:val="hybridMultilevel"/>
    <w:tmpl w:val="36C45B6C"/>
    <w:lvl w:ilvl="0" w:tplc="478E91F4">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024AB8AC"/>
    <w:multiLevelType w:val="hybridMultilevel"/>
    <w:tmpl w:val="B706D714"/>
    <w:lvl w:ilvl="0" w:tplc="469EAAE4">
      <w:start w:val="1"/>
      <w:numFmt w:val="decimal"/>
      <w:lvlText w:val="2.2.%1"/>
      <w:lvlJc w:val="left"/>
      <w:pPr>
        <w:ind w:left="1440" w:hanging="360"/>
      </w:pPr>
      <w:rPr>
        <w:rFonts w:hint="default"/>
        <w:b/>
        <w:bCs/>
        <w:color w:val="000000" w:themeColor="text1"/>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4F11D58"/>
    <w:multiLevelType w:val="hybridMultilevel"/>
    <w:tmpl w:val="C37E4C20"/>
    <w:lvl w:ilvl="0" w:tplc="C4E89158">
      <w:start w:val="1"/>
      <w:numFmt w:val="decimal"/>
      <w:lvlText w:val="2.3.%1"/>
      <w:lvlJc w:val="left"/>
      <w:pPr>
        <w:ind w:left="1440" w:hanging="360"/>
      </w:pPr>
      <w:rPr>
        <w:rFonts w:hint="default"/>
        <w:color w:val="000000" w:themeColor="text1"/>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483621164">
    <w:abstractNumId w:val="4"/>
    <w:lvlOverride w:ilvl="0">
      <w:startOverride w:val="1"/>
    </w:lvlOverride>
  </w:num>
  <w:num w:numId="2" w16cid:durableId="1271471258">
    <w:abstractNumId w:val="3"/>
  </w:num>
  <w:num w:numId="3" w16cid:durableId="1875382681">
    <w:abstractNumId w:val="1"/>
  </w:num>
  <w:num w:numId="4" w16cid:durableId="1265766183">
    <w:abstractNumId w:val="0"/>
  </w:num>
  <w:num w:numId="6" w16cid:durableId="290405565">
    <w:abstractNumId w:val="5"/>
  </w:num>
  <w:num w:numId="7" w16cid:durableId="290405565">
    <w:abstractNumId w:val="5"/>
    <w:lvlOverride w:ilvl="0">
      <w:startOverride w:val="1"/>
    </w:lvlOverride>
  </w:num>
  <w:num w:numId="8" w16cid:durableId="388119427">
    <w:abstractNumId w:val="6"/>
  </w:num>
  <w:num w:numId="9" w16cid:durableId="388119427">
    <w:abstractNumId w:val="6"/>
    <w:lvlOverride w:ilvl="0">
      <w:startOverride w:val="1"/>
    </w:lvlOverride>
  </w:num>
  <w:num w:numId="10" w16cid:durableId="778522735">
    <w:abstractNumId w:val="7"/>
  </w:num>
  <w:num w:numId="5" w16cid:durableId="749473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E676D"/>
  <w15:docId w15:val="{BDBEBA41-D48B-4500-9399-AAE3E826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92067"/>
    <w:pPr>
      <w:spacing w:before="100" w:beforeAutospacing="1" w:after="100" w:afterAutospacing="1"/>
    </w:pPr>
    <w:rPr>
      <w:lang w:val="en-ID" w:eastAsia="en-ID"/>
    </w:rPr>
  </w:style>
  <w:style w:type="character" w:styleId="Emphasis">
    <w:name w:val="Emphasis"/>
    <w:basedOn w:val="DefaultParagraphFont"/>
    <w:uiPriority w:val="20"/>
    <w:qFormat/>
    <w:rsid w:val="00392067"/>
    <w:rPr>
      <w:i/>
      <w:iCs/>
    </w:rPr>
  </w:style>
  <w:style w:type="paragraph" w:customStyle="1" w:styleId="Gaya1">
    <w:name w:val="Gaya1"/>
    <w:basedOn w:val="Judul1"/>
    <w:link w:val="Gaya1KAR"/>
    <w:qFormat/>
    <w:rsid w:val="00883960"/>
    <w:pPr>
      <w:jc w:val="center"/>
    </w:pPr>
    <w:rPr>
      <w:rFonts w:ascii="Times New Roman" w:hAnsi="Times New Roman"/>
      <w:b/>
      <w:color w:val="000000" w:themeColor="text1"/>
      <w:sz w:val="24"/>
    </w:rPr>
  </w:style>
  <w:style w:type="character" w:customStyle="1" w:styleId="Gaya1KAR">
    <w:name w:val="Gaya1 KAR"/>
    <w:basedOn w:val="Judul1KAR"/>
    <w:link w:val="Gaya1"/>
    <w:rsid w:val="00883960"/>
    <w:rPr>
      <w:rFonts w:ascii="Times New Roman" w:eastAsiaTheme="majorEastAsia" w:hAnsi="Times New Roman" w:cstheme="majorBidi"/>
      <w:b/>
      <w:color w:val="000000" w:themeColor="text1"/>
      <w:sz w:val="24"/>
      <w:szCs w:val="40"/>
    </w:rPr>
  </w:style>
  <w:style w:type="paragraph" w:customStyle="1" w:styleId="Gaya2">
    <w:name w:val="Gaya2"/>
    <w:basedOn w:val="Judul2"/>
    <w:link w:val="Gaya2KAR"/>
    <w:qFormat/>
    <w:rsid w:val="0056381C"/>
    <w:rPr>
      <w:rFonts w:ascii="Times New Roman" w:hAnsi="Times New Roman"/>
      <w:color w:val="000000" w:themeColor="text1"/>
      <w:sz w:val="24"/>
    </w:rPr>
  </w:style>
  <w:style w:type="character" w:customStyle="1" w:styleId="Gaya2KAR">
    <w:name w:val="Gaya2 KAR"/>
    <w:basedOn w:val="Judul2KAR"/>
    <w:link w:val="Gaya2"/>
    <w:rsid w:val="0056381C"/>
    <w:rPr>
      <w:rFonts w:ascii="Times New Roman" w:eastAsiaTheme="majorEastAsia" w:hAnsi="Times New Roman" w:cstheme="majorBidi"/>
      <w:color w:val="000000" w:themeColor="text1"/>
      <w:sz w:val="24"/>
      <w:szCs w:val="32"/>
    </w:rPr>
  </w:style>
  <w:style w:type="paragraph" w:styleId="Keterangan">
    <w:name w:val="caption"/>
    <w:basedOn w:val="Normal"/>
    <w:next w:val="Normal"/>
    <w:uiPriority w:val="35"/>
    <w:unhideWhenUsed/>
    <w:qFormat/>
    <w:rsid w:val="00C9202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53869">
      <w:bodyDiv w:val="1"/>
      <w:marLeft w:val="0"/>
      <w:marRight w:val="0"/>
      <w:marTop w:val="0"/>
      <w:marBottom w:val="0"/>
      <w:divBdr>
        <w:top w:val="none" w:sz="0" w:space="0" w:color="auto"/>
        <w:left w:val="none" w:sz="0" w:space="0" w:color="auto"/>
        <w:bottom w:val="none" w:sz="0" w:space="0" w:color="auto"/>
        <w:right w:val="none" w:sz="0" w:space="0" w:color="auto"/>
      </w:divBdr>
    </w:div>
    <w:div w:id="898243889">
      <w:bodyDiv w:val="1"/>
      <w:marLeft w:val="0"/>
      <w:marRight w:val="0"/>
      <w:marTop w:val="0"/>
      <w:marBottom w:val="0"/>
      <w:divBdr>
        <w:top w:val="none" w:sz="0" w:space="0" w:color="auto"/>
        <w:left w:val="none" w:sz="0" w:space="0" w:color="auto"/>
        <w:bottom w:val="none" w:sz="0" w:space="0" w:color="auto"/>
        <w:right w:val="none" w:sz="0" w:space="0" w:color="auto"/>
      </w:divBdr>
    </w:div>
    <w:div w:id="1104156879">
      <w:bodyDiv w:val="1"/>
      <w:marLeft w:val="0"/>
      <w:marRight w:val="0"/>
      <w:marTop w:val="0"/>
      <w:marBottom w:val="0"/>
      <w:divBdr>
        <w:top w:val="none" w:sz="0" w:space="0" w:color="auto"/>
        <w:left w:val="none" w:sz="0" w:space="0" w:color="auto"/>
        <w:bottom w:val="none" w:sz="0" w:space="0" w:color="auto"/>
        <w:right w:val="none" w:sz="0" w:space="0" w:color="auto"/>
      </w:divBdr>
    </w:div>
    <w:div w:id="1218470583">
      <w:bodyDiv w:val="1"/>
      <w:marLeft w:val="0"/>
      <w:marRight w:val="0"/>
      <w:marTop w:val="0"/>
      <w:marBottom w:val="0"/>
      <w:divBdr>
        <w:top w:val="none" w:sz="0" w:space="0" w:color="auto"/>
        <w:left w:val="none" w:sz="0" w:space="0" w:color="auto"/>
        <w:bottom w:val="none" w:sz="0" w:space="0" w:color="auto"/>
        <w:right w:val="none" w:sz="0" w:space="0" w:color="auto"/>
      </w:divBdr>
    </w:div>
    <w:div w:id="1290546544">
      <w:bodyDiv w:val="1"/>
      <w:marLeft w:val="0"/>
      <w:marRight w:val="0"/>
      <w:marTop w:val="0"/>
      <w:marBottom w:val="0"/>
      <w:divBdr>
        <w:top w:val="none" w:sz="0" w:space="0" w:color="auto"/>
        <w:left w:val="none" w:sz="0" w:space="0" w:color="auto"/>
        <w:bottom w:val="none" w:sz="0" w:space="0" w:color="auto"/>
        <w:right w:val="none" w:sz="0" w:space="0" w:color="auto"/>
      </w:divBdr>
    </w:div>
    <w:div w:id="1344895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Ftr1" Type="http://schemas.openxmlformats.org/officeDocument/2006/relationships/footer" Target="footer1.xml"/><Relationship Id="rIdFtr2"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Latar Belakang - Pengembangan ErgoSeat IoT</vt:lpstr>
    </vt:vector>
  </TitlesOfParts>
  <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Visualisasi Data - Analisis Saham BBCA</dc:title>
  <dc:creator>Moch. Rif'an Fatoni</dc:creator>
  <cp:lastModifiedBy>Moch. Rif'an Fatoni</cp:lastModifiedBy>
  <cp:revision>5</cp:revision>
  <dcterms:created xsi:type="dcterms:W3CDTF">2026-10-29T04:28:00Z</dcterms:created>
  <dcterms:modified xsi:type="dcterms:W3CDTF">2026-10-29T07:27:00Z</dcterms:modified>
</cp:coreProperties>
</file>