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</w:p>
    <w:p>
      <w:pPr>
        <w:spacing w:after="160"/>
        <w:jc w:val="left"/>
      </w:pPr>
      <w:r>
        <w:rPr>
          <w:rFonts w:ascii="Arial" w:eastAsia="Microsoft YaHei" w:hAnsi="Arial"/>
          <w:b/>
          <w:bCs/>
          <w:color w:val="14231B"/>
          <w:sz w:val="72"/>
          <w:szCs w:val="72"/>
        </w:rPr>
        <w:t xml:space="preserve">企业碳排放认证与溯源系统</w:t>
      </w:r>
    </w:p>
    <w:p>
      <w:pPr>
        <w:spacing w:after="260"/>
        <w:jc w:val="left"/>
      </w:pPr>
      <w:r>
        <w:rPr>
          <w:rFonts w:ascii="Arial" w:eastAsia="Microsoft YaHei" w:hAnsi="Arial"/>
          <w:b/>
          <w:bCs/>
          <w:color w:val="0D6B4F"/>
          <w:sz w:val="56"/>
          <w:szCs w:val="56"/>
        </w:rPr>
        <w:t xml:space="preserve">设 计 方 案</w:t>
      </w:r>
    </w:p>
    <w:p>
      <w:pPr>
        <w:pBdr>
          <w:bottom w:val="single" w:color="B47F25" w:sz="8" w:space="8"/>
        </w:pBdr>
        <w:spacing w:after="260"/>
      </w:pPr>
      <w:r>
        <w:rPr>
          <w:rFonts w:ascii="Arial" w:eastAsia="Microsoft YaHei" w:hAnsi="Arial"/>
          <w:color w:val="5F7067"/>
          <w:sz w:val="30"/>
          <w:szCs w:val="30"/>
        </w:rPr>
        <w:t xml:space="preserve">碳链通 · 基于 FISCO BCOS 联盟链的碳排放数据认证与追溯平台</w:t>
      </w:r>
    </w:p>
    <w:p>
      <w:pPr>
        <w:spacing w:after="600"/>
      </w:pPr>
      <w:r>
        <w:rPr>
          <w:rFonts w:ascii="Arial" w:eastAsia="Microsoft YaHei" w:hAnsi="Arial"/>
          <w:color w:val="5F7067"/>
          <w:sz w:val="24"/>
          <w:szCs w:val="24"/>
        </w:rPr>
        <w:t xml:space="preserve">版本 V1.0 · 代码基线 054a34a · 2026 年 10 月</w:t>
      </w:r>
    </w:p>
    <w:p>
      <w:r>
        <w:br w:type="page"/>
      </w:r>
    </w:p>
    <w:p>
      <w:pPr>
        <w:pStyle w:val="Heading1"/>
      </w:pPr>
      <w:r>
        <w:rPr>
          <w:rFonts w:ascii="Arial" w:eastAsia="Microsoft YaHei" w:hAnsi="Arial"/>
        </w:rPr>
        <w:t xml:space="preserve">文档说明</w:t>
      </w:r>
    </w:p>
    <w:p>
      <w:pPr>
        <w:spacing w:after="160" w:line="380"/>
      </w:pPr>
      <w:r>
        <w:rPr>
          <w:rFonts w:ascii="Arial" w:eastAsia="Microsoft YaHei" w:hAnsi="Arial"/>
          <w:color w:val="33443B"/>
          <w:sz w:val="24"/>
          <w:szCs w:val="24"/>
        </w:rPr>
        <w:t xml:space="preserve">本方案依据碳链通项目当前代码库（提交 054a34a）与 Ubuntu 演示环境实测结果编写，覆盖业务闭环、总体架构、链上合约、数据模型、接口权限、安全加固、部署运维、质量与性能等设计内容。文中数据均来自源码统计或部署环境实测，不包含未落地的规划数据。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cantSplit/>
          <w:tblHeader/>
        </w:trPr>
        <w:tc>
          <w:tcPr>
            <w:tcW w:type="dxa" w:w="2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项目</w:t>
            </w:r>
          </w:p>
        </w:tc>
        <w:tc>
          <w:tcPr>
            <w:tcW w:type="dxa" w:w="7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文档名称</w:t>
            </w:r>
          </w:p>
        </w:tc>
        <w:tc>
          <w:tcPr>
            <w:tcW w:type="dxa" w:w="7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企业碳排放认证与溯源系统设计方案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文档版本</w:t>
            </w:r>
          </w:p>
        </w:tc>
        <w:tc>
          <w:tcPr>
            <w:tcW w:type="dxa" w:w="7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代码基线</w:t>
            </w:r>
          </w:p>
        </w:tc>
        <w:tc>
          <w:tcPr>
            <w:tcW w:type="dxa" w:w="7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054a34a（main 分支）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编制日期</w:t>
            </w:r>
          </w:p>
        </w:tc>
        <w:tc>
          <w:tcPr>
            <w:tcW w:type="dxa" w:w="7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2026-10-24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适用范围</w:t>
            </w:r>
          </w:p>
        </w:tc>
        <w:tc>
          <w:tcPr>
            <w:tcW w:type="dxa" w:w="7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项目答辩、验收评审、技术交接与后续演进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数据口径</w:t>
            </w:r>
          </w:p>
        </w:tc>
        <w:tc>
          <w:tcPr>
            <w:tcW w:type="dxa" w:w="7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当前业务库 53 条排放记录、52 张认证记录；链上 52 张存证、278 个区块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eastAsia="Microsoft YaHei" w:hAnsi="Arial"/>
        </w:rPr>
        <w:t xml:space="preserve">1 概述</w:t>
      </w:r>
    </w:p>
    <w:p>
      <w:pPr>
        <w:pStyle w:val="Heading2"/>
      </w:pPr>
      <w:r>
        <w:rPr>
          <w:rFonts w:ascii="Arial" w:eastAsia="Microsoft YaHei" w:hAnsi="Arial"/>
        </w:rPr>
        <w:t xml:space="preserve">1.1 建设背景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企业碳排放数据长期存在三个结构性难题：企业自行填报、自行保存，数据自证不可信；历史数据可被修改或删除，监管难以追溯；证书真伪只能依赖发证机构背书，公众难以独立核验。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本系统把「认证结论」写入联盟链，使数据在业务侧保持可运营，在链上保持不可篡改。平台覆盖企业碳排放数据的填报、审核、认证、上链存证、公众核验全流程，认证结果由 Solidity 智能合约承载，部署在 FISCO BCOS 联盟链的 WeBASE 上。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业务数据库不保存任何哈希值；链上交易哈希与区块高度由交易回执获取并缓存，历史交易按区块内认证交易的入参解析定位。公众凭 12 位电子防伪码或交易哈希即可核验证书真伪，核验以链上存证状态为唯一依据。</w:t>
      </w:r>
    </w:p>
    <w:p>
      <w:pPr>
        <w:pStyle w:val="Heading2"/>
      </w:pPr>
      <w:r>
        <w:rPr>
          <w:rFonts w:ascii="Arial" w:eastAsia="Microsoft YaHei" w:hAnsi="Arial"/>
        </w:rPr>
        <w:t xml:space="preserve">1.2 设计目标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数据可溯源：排放记录、报告记录、认证记录三表同号，任何一张证书都能沿编号回到原始填报记录与审核意见。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认证可核验：公众无需登录即可核验，证书状态以链上为准；业务库中的防伪码即使被改动也不影响核验结论。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系统可运营：业务只读接口具备千级 RPS 能力；链不可用时合规判定可降级、写链失败可重试并生成告警。</w:t>
      </w:r>
    </w:p>
    <w:p>
      <w:pPr>
        <w:pStyle w:val="Heading2"/>
      </w:pPr>
      <w:r>
        <w:rPr>
          <w:rFonts w:ascii="Arial" w:eastAsia="Microsoft YaHei" w:hAnsi="Arial"/>
        </w:rPr>
        <w:t xml:space="preserve">1.3 设计原则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三表同号：排放记录、报告记录、认证记录共用「CR + 6 位序号」编号，链上以该编号作为存证唯一键。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链上为准：证书状态（有效 / 已撤销 / 已作废）以链上为准，业务表只作展示回填。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链上只追加：删除排放记录不删除链上数据，只把存证状态置为已作废，历史留痕不可抹除。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提交后上链：链上写入统一延迟到数据库事务提交之后执行，避免事务回滚产生孤儿存证。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判定在合约：配额、环比、漏填、因子、迟报五类规则由合规合约判定并返回位掩码，告警级别与文案由后端生成。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可降级：合规判定在链不可用时回退本地规则，填报流程不中断；认证、撤销、核验等强链操作直接返回 503，绝不伪造结果。</w:t>
      </w:r>
    </w:p>
    <w:p>
      <w:pPr>
        <w:pStyle w:val="Heading2"/>
      </w:pPr>
      <w:r>
        <w:rPr>
          <w:rFonts w:ascii="Arial" w:eastAsia="Microsoft YaHei" w:hAnsi="Arial"/>
        </w:rPr>
        <w:t xml:space="preserve">1.4 术语约定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cantSplit/>
          <w:tblHeader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术语</w:t>
            </w:r>
          </w:p>
        </w:tc>
        <w:tc>
          <w:tcPr>
            <w:tcW w:type="dxa" w:w="7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三表同号</w:t>
            </w:r>
          </w:p>
        </w:tc>
        <w:tc>
          <w:tcPr>
            <w:tcW w:type="dxa" w:w="7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排放记录、报告记录、认证记录使用同一个业务编号，链上以该编号作为存证唯一键。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电子防伪码</w:t>
            </w:r>
          </w:p>
        </w:tc>
        <w:tc>
          <w:tcPr>
            <w:tcW w:type="dxa" w:w="7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填报时随机生成的 12 位字符串，是链上存证的映射索引，查询与核验大小写敏感、精确匹配。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存证</w:t>
            </w:r>
          </w:p>
        </w:tc>
        <w:tc>
          <w:tcPr>
            <w:tcW w:type="dxa" w:w="7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认证要素（编号、企业、报告期、金额、防伪码、审核人、合规位掩码）在链上的记录。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作废</w:t>
            </w:r>
          </w:p>
        </w:tc>
        <w:tc>
          <w:tcPr>
            <w:tcW w:type="dxa" w:w="7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业务侧删除排放记录后，链上存证被置为 INVALID，数据保留、状态变更。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一致性对账</w:t>
            </w:r>
          </w:p>
        </w:tc>
        <w:tc>
          <w:tcPr>
            <w:tcW w:type="dxa" w:w="7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分别比对链上有效 / 已撤销计数与业务库认证记录，作废差额属预期。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离线桩</w:t>
            </w:r>
          </w:p>
        </w:tc>
        <w:tc>
          <w:tcPr>
            <w:tcW w:type="dxa" w:w="7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carbon.chain.mode=stub 时的本地开发模式，无区块、不落盘、重启即清空。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eastAsia="Microsoft YaHei" w:hAnsi="Arial"/>
        </w:rPr>
        <w:t xml:space="preserve">2 需求与角色</w:t>
      </w:r>
    </w:p>
    <w:p>
      <w:pPr>
        <w:pStyle w:val="Heading2"/>
      </w:pPr>
      <w:r>
        <w:rPr>
          <w:rFonts w:ascii="Arial" w:eastAsia="Microsoft YaHei" w:hAnsi="Arial"/>
        </w:rPr>
        <w:t xml:space="preserve">2.1 业务流程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填报：企业录入活动数据与排放源，系统按「活动数据 × 排放因子」计算排放量并保留 2 位小数，同时生成 12 位电子防伪码。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审核：审核端对报告给出通过或驳回结论；驳回后企业可重新申请认证。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认证：生成认证记录，排放、报告、认证三张表共用同一编号；认证要素包括金额、防伪码、审核人与合规位掩码。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存证：事务提交后调用存证合约 certify，把认证要素写入链上，并用交易回执回填交易哈希与区块高度。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核验：公众凭防伪码或交易哈希查询，先定位链上存证，再用排放编号关联业务库记录，证书状态以链上为准。</w:t>
      </w:r>
    </w:p>
    <w:p>
      <w:pPr>
        <w:pStyle w:val="Heading2"/>
      </w:pPr>
      <w:r>
        <w:rPr>
          <w:rFonts w:ascii="Arial" w:eastAsia="Microsoft YaHei" w:hAnsi="Arial"/>
        </w:rPr>
        <w:t xml:space="preserve">2.2 角色职责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100"/>
        <w:gridCol w:w="3226"/>
      </w:tblGrid>
      <w:tr>
        <w:trPr>
          <w:cantSplit/>
          <w:tblHeader/>
        </w:trPr>
        <w:tc>
          <w:tcPr>
            <w:tcW w:type="dxa" w:w="17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角色</w:t>
            </w:r>
          </w:p>
        </w:tc>
        <w:tc>
          <w:tcPr>
            <w:tcW w:type="dxa" w:w="41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核心职责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数据边界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企业端 enterprise</w:t>
            </w:r>
          </w:p>
        </w:tc>
        <w:tc>
          <w:tcPr>
            <w:tcW w:type="dxa" w:w="41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填报排放数据、申请认证、删除错误记录、查看本企业证书与趋势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仅本企业数据，由 UserScopes 强制过滤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审核端 auditor</w:t>
            </w:r>
          </w:p>
        </w:tc>
        <w:tc>
          <w:tcPr>
            <w:tcW w:type="dxa" w:w="41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审核报告，给出通过或驳回结论，查看审核历史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全部待审报告，不参与企业管理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监管端 regulator</w:t>
            </w:r>
          </w:p>
        </w:tc>
        <w:tc>
          <w:tcPr>
            <w:tcW w:type="dxa" w:w="41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监管企业、撤销认证、治理排放因子与机构、处置告警、查看行业统计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全域只读 + 监管写操作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公共端 public</w:t>
            </w:r>
          </w:p>
        </w:tc>
        <w:tc>
          <w:tcPr>
            <w:tcW w:type="dxa" w:w="41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查询与核验证书真伪、查看企业排放公示、扫码核验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免登录，仅按防伪码或交易哈希检索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管理员 admin</w:t>
            </w:r>
          </w:p>
        </w:tc>
        <w:tc>
          <w:tcPr>
            <w:tcW w:type="dxa" w:w="41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用户管理、角色调整、密码重置、应急处置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全量权限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2.3 功能需求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填报管理：排放记录列表、详情、新增、删除；报告记录列表、审核、重新申请。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认证管理：认证记录列表、详情、防伪码查询、核验、撤销；撤销原因必填。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公共端：企业公示、排放公示、证书查询、扫码核验。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监管端：企业、审核机构、监管机构、排放因子、排放源管理；告警处置；行业统计。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链浏览：最近区块与交易明细、链上统计、链健康信息。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合规治理：规则查询、年度配额、波动阈值、迟报月数治理。</w:t>
      </w:r>
    </w:p>
    <w:p>
      <w:pPr>
        <w:pStyle w:val="Heading2"/>
      </w:pPr>
      <w:r>
        <w:rPr>
          <w:rFonts w:ascii="Arial" w:eastAsia="Microsoft YaHei" w:hAnsi="Arial"/>
        </w:rPr>
        <w:t xml:space="preserve">2.4 非功能需求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cantSplit/>
          <w:tblHeader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维度</w:t>
            </w:r>
          </w:p>
        </w:tc>
        <w:tc>
          <w:tcPr>
            <w:tcW w:type="dxa" w:w="7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要求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性能</w:t>
            </w:r>
          </w:p>
        </w:tc>
        <w:tc>
          <w:tcPr>
            <w:tcW w:type="dxa" w:w="7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业务只读接口 1300+ RPS；链上写单笔约 2 秒，链读 15–17 RPS；列表页不回链。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安全</w:t>
            </w:r>
          </w:p>
        </w:tc>
        <w:tc>
          <w:tcPr>
            <w:tcW w:type="dxa" w:w="7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JWT 鉴权、角色校验、企业数据隔离、BCrypt 密码、登录失败锁定、敏感端口回环绑定。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可用性</w:t>
            </w:r>
          </w:p>
        </w:tc>
        <w:tc>
          <w:tcPr>
            <w:tcW w:type="dxa" w:w="7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链不可用时合规判定降级；写链失败重试并生成 chain_failed 告警；启动时与每 5 分钟一致性对账。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可追溯</w:t>
            </w:r>
          </w:p>
        </w:tc>
        <w:tc>
          <w:tcPr>
            <w:tcW w:type="dxa" w:w="7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三表同号、链上只追加、删除即作废，保留完整历史留痕。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兼容性</w:t>
            </w:r>
          </w:p>
        </w:tc>
        <w:tc>
          <w:tcPr>
            <w:tcW w:type="dxa" w:w="7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后端 JDK 25；前端现代浏览器；MySQL 8.x；FISCO BCOS 3.x + WeBASE 3.1.1。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eastAsia="Microsoft YaHei" w:hAnsi="Arial"/>
        </w:rPr>
        <w:t xml:space="preserve">3 总体架构</w:t>
      </w:r>
    </w:p>
    <w:p>
      <w:pPr>
        <w:pStyle w:val="Heading2"/>
      </w:pPr>
      <w:r>
        <w:rPr>
          <w:rFonts w:ascii="Arial" w:eastAsia="Microsoft YaHei" w:hAnsi="Arial"/>
        </w:rPr>
        <w:t xml:space="preserve">3.1 分层架构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系统采用「单体应用 + 联盟链」的分层结构。浏览器只与 nginx 通信；nginx 托管前端静态资源，并把接口与上传请求反向代理到 Spring Boot；后端通过 ChainGateway 抽象访问 WeBASE-Front 的 REST 接口，不引入 FISCO SDK 或 web3j。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026"/>
      </w:tblGrid>
      <w:tr>
        <w:trPr>
          <w:cantSplit/>
          <w:tblHeader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层次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职责</w:t>
            </w:r>
          </w:p>
        </w:tc>
        <w:tc>
          <w:tcPr>
            <w:tcW w:type="dxa" w:w="4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关键实现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接入层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浏览器、扫码终端</w:t>
            </w:r>
          </w:p>
        </w:tc>
        <w:tc>
          <w:tcPr>
            <w:tcW w:type="dxa" w:w="4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只与 nginx 通信，不直连后端与链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边缘层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静态资源、history 路由回退、同源反向代理</w:t>
            </w:r>
          </w:p>
        </w:tc>
        <w:tc>
          <w:tcPr>
            <w:tcW w:type="dxa" w:w="4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nginx 80；/api 与 /uploads 代理到 127.0.0.1:8080，读超时 120s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应用层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参数校验、角色校验、企业隔离、业务编排</w:t>
            </w:r>
          </w:p>
        </w:tc>
        <w:tc>
          <w:tcPr>
            <w:tcW w:type="dxa" w:w="4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Spring Boot 3.5.16；16 个 Controller、76 个接口、14 个 Service 实现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链网关层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合约读写、ABI 编解码、回执解析、交易定位</w:t>
            </w:r>
          </w:p>
        </w:tc>
        <w:tc>
          <w:tcPr>
            <w:tcW w:type="dxa" w:w="4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ChainGateway 接口 + WebaseChainGateway + StubChainGateway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数据层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业务数据持久化</w:t>
            </w:r>
          </w:p>
        </w:tc>
        <w:tc>
          <w:tcPr>
            <w:tcW w:type="dxa" w:w="4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MySQL 8.4，carbon_emission 库，13 张表，不保存哈希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链上层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存证状态机、合规判定、计数</w:t>
            </w:r>
          </w:p>
        </w:tc>
        <w:tc>
          <w:tcPr>
            <w:tcW w:type="dxa" w:w="4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两个 Solidity 合约；FISCO BCOS node0 / node1，group0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3.2 技术栈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3226"/>
      </w:tblGrid>
      <w:tr>
        <w:trPr>
          <w:cantSplit/>
          <w:tblHeader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层次</w:t>
            </w:r>
          </w:p>
        </w:tc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技术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前端</w:t>
            </w:r>
          </w:p>
        </w:tc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Vue 3 + Vite 5 + Element Plus + ECharts + Pinia + Vue Router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26 个视图，按企业 / 审核 / 监管 / 公共四端组织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后端</w:t>
            </w:r>
          </w:p>
        </w:tc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Spring Boot 3.5.16 + MyBatis-Plus 3.5.9 + JDK 25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单体应用，事务边界在 Service 层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数据库</w:t>
            </w:r>
          </w:p>
        </w:tc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MySQL 8.x（utf8mb4）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业务库 carbon_emission；触发器负责三表联动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区块链</w:t>
            </w:r>
          </w:p>
        </w:tc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FISCO BCOS 3.x + WeBASE 3.1.1 + Solidity 0.8.x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合约编译使用 solc 0.8.30，--via-ir --evm-version london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链上调用</w:t>
            </w:r>
          </w:p>
        </w:tc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WeBASE-Front REST（/trans/handle 等）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后端不依赖链 SDK，ABI 编解码交给 WeBASE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鉴权</w:t>
            </w:r>
          </w:p>
        </w:tc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JWT（24 小时）+ 拦截器 + 角色校验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公共端白名单免登录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3.3 链上调用边界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链上交易哈希无法由合约自述，必须由交易回执获取；历史交易则解析区块内 certify 交易的入参（按 ABI 现算 Keccak256 选择器 + 本地解码）来定位。WeBASE 3.x 的 /event/eventLogs/list 是「订阅 + 等回调」，同一区间多次查询条数不一致，因此不作为检索手段。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WeBASE 3.x 的 funcParam 是 List&lt;String&gt;，每个元素按原文参与 ABI 编码：字符串直接给内容、不能加引号；数字给 1000；数组给 JSON 数组文本。后端 WebaseChainGateway#encodeFuncParams 已统一处理。</w:t>
      </w:r>
    </w:p>
    <w:p>
      <w:pPr>
        <w:pStyle w:val="Heading2"/>
      </w:pPr>
      <w:r>
        <w:rPr>
          <w:rFonts w:ascii="Arial" w:eastAsia="Microsoft YaHei" w:hAnsi="Arial"/>
        </w:rPr>
        <w:t xml:space="preserve">3.4 关键设计决策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数据库不保存任何哈希值，链上定位由交易回执与区块解析完成。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链上只追加不删除，删除业务记录对应作废标记，历史不可抹除。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链上写入在事务提交后执行，失败重试，最终失败生成高危急告警。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合规判定在合约内完成，告警级别与中文文案在后端生成，便于本地化与治理。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链不可用时合规判定回退本地规则；强链操作直接返回 503，避免伪造结果。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对外只暴露 nginx 80，后端 8080 仅经反代访问；WeBASE、MySQL、Redis 绑定回环地址。</w:t>
      </w:r>
    </w:p>
    <w:p>
      <w:pPr>
        <w:spacing w:after="120"/>
      </w:pPr>
    </w:p>
    <w:p>
      <w:pPr>
        <w:pStyle w:val="Heading1"/>
      </w:pPr>
      <w:r>
        <w:rPr>
          <w:rFonts w:ascii="Arial" w:eastAsia="Microsoft YaHei" w:hAnsi="Arial"/>
        </w:rPr>
        <w:t xml:space="preserve">4 区块链设计</w:t>
      </w:r>
    </w:p>
    <w:p>
      <w:pPr>
        <w:pStyle w:val="Heading2"/>
      </w:pPr>
      <w:r>
        <w:rPr>
          <w:rFonts w:ascii="Arial" w:eastAsia="Microsoft YaHei" w:hAnsi="Arial"/>
        </w:rPr>
        <w:t xml:space="preserve">4.1 双合约分工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1500"/>
        <w:gridCol w:w="1926"/>
      </w:tblGrid>
      <w:tr>
        <w:trPr>
          <w:cantSplit/>
          <w:tblHeader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合约</w:t>
            </w:r>
          </w:p>
        </w:tc>
        <w:tc>
          <w:tcPr>
            <w:tcW w:type="dxa" w:w="3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职责</w:t>
            </w:r>
          </w:p>
        </w:tc>
        <w:tc>
          <w:tcPr>
            <w:tcW w:type="dxa" w:w="1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函数规模</w:t>
            </w:r>
          </w:p>
        </w:tc>
        <w:tc>
          <w:tcPr>
            <w:tcW w:type="dxa" w:w="19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关键函数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CarbonCertRegistry</w:t>
            </w:r>
          </w:p>
        </w:tc>
        <w:tc>
          <w:tcPr>
            <w:tcW w:type="dxa" w:w="3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认证存证、撤销、作废、核验</w:t>
            </w:r>
          </w:p>
        </w:tc>
        <w:tc>
          <w:tcPr>
            <w:tcW w:type="dxa" w:w="1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14 个外部函数</w:t>
            </w:r>
          </w:p>
        </w:tc>
        <w:tc>
          <w:tcPr>
            <w:tcW w:type="dxa" w:w="19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certify / revoke / invalidateByEmissionId / getByFingerprint / count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CarbonCompliance</w:t>
            </w:r>
          </w:p>
        </w:tc>
        <w:tc>
          <w:tcPr>
            <w:tcW w:type="dxa" w:w="3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配额、环比、漏填、因子、迟报判定与治理</w:t>
            </w:r>
          </w:p>
        </w:tc>
        <w:tc>
          <w:tcPr>
            <w:tcW w:type="dxa" w:w="1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18 个外部函数</w:t>
            </w:r>
          </w:p>
        </w:tc>
        <w:tc>
          <w:tcPr>
            <w:tcW w:type="dxa" w:w="19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checkAll / setAnnualQuota / setFluctuationThresholdBp / setLateReportMonths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4.2 存证合约接口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00"/>
        <w:gridCol w:w="3426"/>
      </w:tblGrid>
      <w:tr>
        <w:trPr>
          <w:cantSplit/>
          <w:tblHeader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分类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函数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治理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addWriter / removeWriter / transferOwner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仅 owner 可执行，控制写入账户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写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certify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首次登记或对未撤销的同一编号更新信息；作废证书可重新认证恢复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写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revoke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监管撤销，链上状态变为 REVOKED，终局不可复活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写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invalidateByEmissionId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删除排放记录时把存证置为 INVALID，未认证记录返回 false 不 revert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读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getByCertId / getByEmissionId / getByFingerprint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按编号、排放编号、防伪码查询存证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读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existsOf / statusOf / complianceOf / count / certIdsInBlock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状态、合规位掩码、有效 / 撤销 / 作废计数、区块内编号列表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4.3 合规规则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900"/>
        <w:gridCol w:w="2500"/>
        <w:gridCol w:w="1026"/>
      </w:tblGrid>
      <w:tr>
        <w:trPr>
          <w:cantSplit/>
          <w:tblHeader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规则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判定依据</w:t>
            </w:r>
          </w:p>
        </w:tc>
        <w:tc>
          <w:tcPr>
            <w:tcW w:type="dxa" w:w="2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阈值 / 条件</w:t>
            </w:r>
          </w:p>
        </w:tc>
        <w:tc>
          <w:tcPr>
            <w:tcW w:type="dxa" w:w="1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告警级别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配额超限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企业年度累计排放 vs 链上年度配额</w:t>
            </w:r>
          </w:p>
        </w:tc>
        <w:tc>
          <w:tcPr>
            <w:tcW w:type="dxa" w:w="2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累计 &gt; 配额</w:t>
            </w:r>
          </w:p>
        </w:tc>
        <w:tc>
          <w:tcPr>
            <w:tcW w:type="dxa" w:w="1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环比波动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本期总量 vs 上一报告期总量</w:t>
            </w:r>
          </w:p>
        </w:tc>
        <w:tc>
          <w:tcPr>
            <w:tcW w:type="dxa" w:w="2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默认 ±20%，可由治理函数调整</w:t>
            </w:r>
          </w:p>
        </w:tc>
        <w:tc>
          <w:tcPr>
            <w:tcW w:type="dxa" w:w="1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活动数据缺失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本期活动数据</w:t>
            </w:r>
          </w:p>
        </w:tc>
        <w:tc>
          <w:tcPr>
            <w:tcW w:type="dxa" w:w="2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等于 0</w:t>
            </w:r>
          </w:p>
        </w:tc>
        <w:tc>
          <w:tcPr>
            <w:tcW w:type="dxa" w:w="1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排放因子不符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本次因子 vs 该企业同源历史因子</w:t>
            </w:r>
          </w:p>
        </w:tc>
        <w:tc>
          <w:tcPr>
            <w:tcW w:type="dxa" w:w="2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不一致</w:t>
            </w:r>
          </w:p>
        </w:tc>
        <w:tc>
          <w:tcPr>
            <w:tcW w:type="dxa" w:w="1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迟报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报告期 vs 当前月份</w:t>
            </w:r>
          </w:p>
        </w:tc>
        <w:tc>
          <w:tcPr>
            <w:tcW w:type="dxa" w:w="2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默认超过 1 个月</w:t>
            </w:r>
          </w:p>
        </w:tc>
        <w:tc>
          <w:tcPr>
            <w:tcW w:type="dxa" w:w="1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中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4.4 证书状态机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3200"/>
        <w:gridCol w:w="2826"/>
      </w:tblGrid>
      <w:tr>
        <w:trPr>
          <w:cantSplit/>
          <w:tblHeader/>
        </w:trPr>
        <w:tc>
          <w:tcPr>
            <w:tcW w:type="dxa" w:w="1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状态</w:t>
            </w:r>
          </w:p>
        </w:tc>
        <w:tc>
          <w:tcPr>
            <w:tcW w:type="dxa" w:w="1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取值</w:t>
            </w:r>
          </w:p>
        </w:tc>
        <w:tc>
          <w:tcPr>
            <w:tcW w:type="dxa" w:w="3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产生方式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可恢复性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不存在</w:t>
            </w:r>
          </w:p>
        </w:tc>
        <w:tc>
          <w:tcPr>
            <w:tcW w:type="dxa" w:w="1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NONE = 0</w:t>
            </w:r>
          </w:p>
        </w:tc>
        <w:tc>
          <w:tcPr>
            <w:tcW w:type="dxa" w:w="3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未认证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可首次认证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有效</w:t>
            </w:r>
          </w:p>
        </w:tc>
        <w:tc>
          <w:tcPr>
            <w:tcW w:type="dxa" w:w="1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VALID = 1</w:t>
            </w:r>
          </w:p>
        </w:tc>
        <w:tc>
          <w:tcPr>
            <w:tcW w:type="dxa" w:w="3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certify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可被撤销或作废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已撤销</w:t>
            </w:r>
          </w:p>
        </w:tc>
        <w:tc>
          <w:tcPr>
            <w:tcW w:type="dxa" w:w="1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REVOKED = 2</w:t>
            </w:r>
          </w:p>
        </w:tc>
        <w:tc>
          <w:tcPr>
            <w:tcW w:type="dxa" w:w="3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监管 revoke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终局，不可复活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已作废</w:t>
            </w:r>
          </w:p>
        </w:tc>
        <w:tc>
          <w:tcPr>
            <w:tcW w:type="dxa" w:w="15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INVALID = 3</w:t>
            </w:r>
          </w:p>
        </w:tc>
        <w:tc>
          <w:tcPr>
            <w:tcW w:type="dxa" w:w="3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删除排放记录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可重新 certify 恢复为有效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4.5 防伪码与核验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防伪码在合约内以 keccak256 原始字节建立「防伪码 → 认证编号」索引，大小写敏感、精确匹配，仅忽略首尾空格。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核验先在链上定位存证（防伪码或交易哈希），再用排放编号关联业务库认证记录；证书状态以链上为准。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交易哈希核验忽略大小写与 0x 前缀；本进程写过的交易直接命中缓存，历史交易解析回执入参。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防伪码必须唯一：合约要求未被占用，或已被同一编号占用，阻止跨证书复用。</w:t>
      </w:r>
    </w:p>
    <w:p>
      <w:pPr>
        <w:pStyle w:val="Heading2"/>
      </w:pPr>
      <w:r>
        <w:rPr>
          <w:rFonts w:ascii="Arial" w:eastAsia="Microsoft YaHei" w:hAnsi="Arial"/>
        </w:rPr>
        <w:t xml:space="preserve">4.6 一致性对账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启动时与每隔 5 分钟执行一次对账：分别比对链上有效 / 已撤销计数与业务库认证记录，作废差额解释为已删除记录对应的作废存证，属预期。链上为 0 而业务库非 0 时判定为严重不一致，直接输出 ERROR 日志并提示检查合约地址配置。</w:t>
      </w:r>
    </w:p>
    <w:p>
      <w:pPr>
        <w:spacing w:after="120"/>
      </w:pPr>
    </w:p>
    <w:p>
      <w:pPr>
        <w:pStyle w:val="Heading1"/>
      </w:pPr>
      <w:r>
        <w:rPr>
          <w:rFonts w:ascii="Arial" w:eastAsia="Microsoft YaHei" w:hAnsi="Arial"/>
        </w:rPr>
        <w:t xml:space="preserve">5 数据设计</w:t>
      </w:r>
    </w:p>
    <w:p>
      <w:pPr>
        <w:pStyle w:val="Heading2"/>
      </w:pPr>
      <w:r>
        <w:rPr>
          <w:rFonts w:ascii="Arial" w:eastAsia="Microsoft YaHei" w:hAnsi="Arial"/>
        </w:rPr>
        <w:t xml:space="preserve">5.1 数据模型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3826"/>
      </w:tblGrid>
      <w:tr>
        <w:trPr>
          <w:cantSplit/>
          <w:tblHeader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分组</w:t>
            </w:r>
          </w:p>
        </w:tc>
        <w:tc>
          <w:tcPr>
            <w:tcW w:type="dxa" w:w="3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表</w:t>
            </w:r>
          </w:p>
        </w:tc>
        <w:tc>
          <w:tcPr>
            <w:tcW w:type="dxa" w:w="3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主数据</w:t>
            </w:r>
          </w:p>
        </w:tc>
        <w:tc>
          <w:tcPr>
            <w:tcW w:type="dxa" w:w="3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enterprises</w:t>
            </w:r>
          </w:p>
        </w:tc>
        <w:tc>
          <w:tcPr>
            <w:tcW w:type="dxa" w:w="3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企业档案（行业、统一社会信用代码等）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主数据</w:t>
            </w:r>
          </w:p>
        </w:tc>
        <w:tc>
          <w:tcPr>
            <w:tcW w:type="dxa" w:w="3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users / user_settings</w:t>
            </w:r>
          </w:p>
        </w:tc>
        <w:tc>
          <w:tcPr>
            <w:tcW w:type="dxa" w:w="3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账号、角色、企业归属、个人设置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主数据</w:t>
            </w:r>
          </w:p>
        </w:tc>
        <w:tc>
          <w:tcPr>
            <w:tcW w:type="dxa" w:w="3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emission_sources / emission_factors</w:t>
            </w:r>
          </w:p>
        </w:tc>
        <w:tc>
          <w:tcPr>
            <w:tcW w:type="dxa" w:w="3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排放源与排放因子（核算口径）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主数据</w:t>
            </w:r>
          </w:p>
        </w:tc>
        <w:tc>
          <w:tcPr>
            <w:tcW w:type="dxa" w:w="3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audit_organizations</w:t>
            </w:r>
          </w:p>
        </w:tc>
        <w:tc>
          <w:tcPr>
            <w:tcW w:type="dxa" w:w="3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第三方审核机构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主数据</w:t>
            </w:r>
          </w:p>
        </w:tc>
        <w:tc>
          <w:tcPr>
            <w:tcW w:type="dxa" w:w="3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regulator_organizations</w:t>
            </w:r>
          </w:p>
        </w:tc>
        <w:tc>
          <w:tcPr>
            <w:tcW w:type="dxa" w:w="3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监管机构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业务</w:t>
            </w:r>
          </w:p>
        </w:tc>
        <w:tc>
          <w:tcPr>
            <w:tcW w:type="dxa" w:w="3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emission_records</w:t>
            </w:r>
          </w:p>
        </w:tc>
        <w:tc>
          <w:tcPr>
            <w:tcW w:type="dxa" w:w="3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排放填报记录（活动数据 × 因子）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业务</w:t>
            </w:r>
          </w:p>
        </w:tc>
        <w:tc>
          <w:tcPr>
            <w:tcW w:type="dxa" w:w="3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report_records</w:t>
            </w:r>
          </w:p>
        </w:tc>
        <w:tc>
          <w:tcPr>
            <w:tcW w:type="dxa" w:w="3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报告提交与审核状态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业务</w:t>
            </w:r>
          </w:p>
        </w:tc>
        <w:tc>
          <w:tcPr>
            <w:tcW w:type="dxa" w:w="3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certification_records</w:t>
            </w:r>
          </w:p>
        </w:tc>
        <w:tc>
          <w:tcPr>
            <w:tcW w:type="dxa" w:w="3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证书、撤销原因、防伪码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业务</w:t>
            </w:r>
          </w:p>
        </w:tc>
        <w:tc>
          <w:tcPr>
            <w:tcW w:type="dxa" w:w="3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alerts</w:t>
            </w:r>
          </w:p>
        </w:tc>
        <w:tc>
          <w:tcPr>
            <w:tcW w:type="dxa" w:w="3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合规告警（类型 / 级别 / 处置状态）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辅助</w:t>
            </w:r>
          </w:p>
        </w:tc>
        <w:tc>
          <w:tcPr>
            <w:tcW w:type="dxa" w:w="3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audit_logs / id_sequences</w:t>
            </w:r>
          </w:p>
        </w:tc>
        <w:tc>
          <w:tcPr>
            <w:tcW w:type="dxa" w:w="3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历史审计日志与早期编号表，当前代码不再引用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5.2 三表同号与触发器联动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排放记录写入时，数据库触发器 trg_emission_ai 自动派生一条 pending 状态报告记录；trg_emission_au 在关键字段变化时同步报告与认证记录；trg_emission_bd 在删除排放记录前级联清理报告与认证。Service 层在插入前先判存在，避免与触发器撞主键。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编号契约：排放记录、报告记录、认证记录三表同号（CR + 6 位序号），链上以该编号作为存证唯一键。编号一旦上链，即使业务记录被删除也不能复用，否则新认证会与链上遗留的已撤销 / 已作废存证同号而无法上链。</w:t>
      </w:r>
    </w:p>
    <w:p>
      <w:pPr>
        <w:pStyle w:val="Heading2"/>
      </w:pPr>
      <w:r>
        <w:rPr>
          <w:rFonts w:ascii="Arial" w:eastAsia="Microsoft YaHei" w:hAnsi="Arial"/>
        </w:rPr>
        <w:t xml:space="preserve">5.3 编号生成与并发安全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进程内计数器：使用 AtomicLong 取号，首次以三张表最大编号为起点，之后只增不减。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锁内占用检查：计数器取号与三表占用检查在互斥锁内完成，毫秒级；跨实例场景由 DuplicateKeyException 重新取号兜底。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锁外链上检查：链上占用检查单次约 2 秒，移到锁外执行，避免并发填报被串行化。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压测曾暴露编号撞主键问题：原实现用 selectCount + 1 取号，并发事务彼此看不到未提交插入，6 并发只有 1 个成功，报 Duplicate entry CR000063。修复后 6/6、4/4 成功，12 并发填报总耗时 17.3 秒；告警编号 ALT015 的同类问题也一并修复。</w:t>
      </w:r>
    </w:p>
    <w:p>
      <w:pPr>
        <w:pStyle w:val="Heading2"/>
      </w:pPr>
      <w:r>
        <w:rPr>
          <w:rFonts w:ascii="Arial" w:eastAsia="Microsoft YaHei" w:hAnsi="Arial"/>
        </w:rPr>
        <w:t xml:space="preserve">5.4 企业数据隔离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企业端只能查看与操作归属自己的排放、报告、认证数据。UserScopes 在列表接口强制注入本企业 enterpriseId，单条读写校验归属，跨企业访问一律返回 403；公共端仅通过防伪码 / 交易哈希检索，不暴露企业列表。</w:t>
      </w:r>
    </w:p>
    <w:p>
      <w:pPr>
        <w:spacing w:after="120"/>
      </w:pPr>
    </w:p>
    <w:p>
      <w:pPr>
        <w:pStyle w:val="Heading1"/>
      </w:pPr>
      <w:r>
        <w:rPr>
          <w:rFonts w:ascii="Arial" w:eastAsia="Microsoft YaHei" w:hAnsi="Arial"/>
        </w:rPr>
        <w:t xml:space="preserve">6 接口与权限</w:t>
      </w:r>
    </w:p>
    <w:p>
      <w:pPr>
        <w:pStyle w:val="Heading2"/>
      </w:pPr>
      <w:r>
        <w:rPr>
          <w:rFonts w:ascii="Arial" w:eastAsia="Microsoft YaHei" w:hAnsi="Arial"/>
        </w:rPr>
        <w:t xml:space="preserve">6.1 接口规模与分组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1000"/>
        <w:gridCol w:w="2826"/>
      </w:tblGrid>
      <w:tr>
        <w:trPr>
          <w:cantSplit/>
          <w:tblHeader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模块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前缀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接口数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典型能力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鉴权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/api/auth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3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登录、当前用户、改密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排放填报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/api/emission-records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4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列表、详情、新增、删除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报告记录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/api/report-records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4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列表、审核、重新申请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认证记录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/api/certifications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5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列表、详情、防伪码查询、核验、撤销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公共端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/api/public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5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企业公示、排放公示、证书查询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统计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/api/stats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15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监管 / 企业 / 审核 / 公共首页图表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链浏览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/api/blockchain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3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区块列表、链统计、健康信息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合规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/api/compliance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6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规则查询、配额与阈值治理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管理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企业 / 用户 / 因子 / 机构 / 告警 / 文件 / 排放源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31</w:t>
            </w:r>
          </w:p>
        </w:tc>
        <w:tc>
          <w:tcPr>
            <w:tcW w:type="dxa" w:w="2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主数据维护与告警处置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6.2 权限矩阵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50"/>
        <w:gridCol w:w="1550"/>
        <w:gridCol w:w="1550"/>
        <w:gridCol w:w="1576"/>
      </w:tblGrid>
      <w:tr>
        <w:trPr>
          <w:cantSplit/>
          <w:tblHeader/>
        </w:trPr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操作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企业端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审核端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监管端</w:t>
            </w:r>
          </w:p>
        </w:tc>
        <w:tc>
          <w:tcPr>
            <w:tcW w:type="dxa" w:w="157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管理员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填报 / 申请 / 删除本企业记录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—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—</w:t>
            </w:r>
          </w:p>
        </w:tc>
        <w:tc>
          <w:tcPr>
            <w:tcW w:type="dxa" w:w="157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审核报告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—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—</w:t>
            </w:r>
          </w:p>
        </w:tc>
        <w:tc>
          <w:tcPr>
            <w:tcW w:type="dxa" w:w="157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撤销认证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—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—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  <w:tc>
          <w:tcPr>
            <w:tcW w:type="dxa" w:w="157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企业 / 机构 / 因子管理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—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—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  <w:tc>
          <w:tcPr>
            <w:tcW w:type="dxa" w:w="157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查看全量数据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—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待审范围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  <w:tc>
          <w:tcPr>
            <w:tcW w:type="dxa" w:w="157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公共核验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  <w:tc>
          <w:tcPr>
            <w:tcW w:type="dxa" w:w="155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  <w:tc>
          <w:tcPr>
            <w:tcW w:type="dxa" w:w="157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允许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6.3 关键接口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900"/>
        <w:gridCol w:w="3726"/>
      </w:tblGrid>
      <w:tr>
        <w:trPr>
          <w:cantSplit/>
          <w:tblHeader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接口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方法与路径</w:t>
            </w:r>
          </w:p>
        </w:tc>
        <w:tc>
          <w:tcPr>
            <w:tcW w:type="dxa" w:w="37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登录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POST /api/auth/login</w:t>
            </w:r>
          </w:p>
        </w:tc>
        <w:tc>
          <w:tcPr>
            <w:tcW w:type="dxa" w:w="37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签发 JWT；连续 5 次失败锁定 5 分钟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新增填报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POST /api/emission-records</w:t>
            </w:r>
          </w:p>
        </w:tc>
        <w:tc>
          <w:tcPr>
            <w:tcW w:type="dxa" w:w="37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校验企业归属，计算排放量，生成防伪码与报告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审核报告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PUT /api/report-records/{id}/audit</w:t>
            </w:r>
          </w:p>
        </w:tc>
        <w:tc>
          <w:tcPr>
            <w:tcW w:type="dxa" w:w="37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certified / rejected；通过后生成认证并上链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核验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POST /api/certifications/verify</w:t>
            </w:r>
          </w:p>
        </w:tc>
        <w:tc>
          <w:tcPr>
            <w:tcW w:type="dxa" w:w="37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body {hash}，防伪码或交易哈希；公共免登录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撤销认证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POST /api/certifications/{id}/revoke</w:t>
            </w:r>
          </w:p>
        </w:tc>
        <w:tc>
          <w:tcPr>
            <w:tcW w:type="dxa" w:w="37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仅监管 / 管理员，原因必填，写链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链统计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GET /api/blockchain/stats</w:t>
            </w:r>
          </w:p>
        </w:tc>
        <w:tc>
          <w:tcPr>
            <w:tcW w:type="dxa" w:w="37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区块数、交易数、有效 / 撤销 / 作废计数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链健康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GET /api/blockchain/health</w:t>
            </w:r>
          </w:p>
        </w:tc>
        <w:tc>
          <w:tcPr>
            <w:tcW w:type="dxa" w:w="37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模式、可用性、最新区块、合约地址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首页统计</w:t>
            </w:r>
          </w:p>
        </w:tc>
        <w:tc>
          <w:tcPr>
            <w:tcW w:type="dxa" w:w="39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GET /api/stats/{scope}</w:t>
            </w:r>
          </w:p>
        </w:tc>
        <w:tc>
          <w:tcPr>
            <w:tcW w:type="dxa" w:w="37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监管 / 企业 / 审核 / 公共四组图表数据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6.4 公共端白名单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防伪码查询、核验接口与公共端接口位于拦截器放行白名单，免登录访问；公共端只返回证书与企业排放的必要字段，不暴露用户、告警与内部管理数据。</w:t>
      </w:r>
    </w:p>
    <w:p>
      <w:pPr>
        <w:spacing w:after="120"/>
      </w:pPr>
    </w:p>
    <w:p>
      <w:pPr>
        <w:pStyle w:val="Heading1"/>
      </w:pPr>
      <w:r>
        <w:rPr>
          <w:rFonts w:ascii="Arial" w:eastAsia="Microsoft YaHei" w:hAnsi="Arial"/>
        </w:rPr>
        <w:t xml:space="preserve">7 安全设计</w:t>
      </w:r>
    </w:p>
    <w:p>
      <w:pPr>
        <w:pStyle w:val="Heading2"/>
      </w:pPr>
      <w:r>
        <w:rPr>
          <w:rFonts w:ascii="Arial" w:eastAsia="Microsoft YaHei" w:hAnsi="Arial"/>
        </w:rPr>
        <w:t xml:space="preserve">7.1 威胁与对策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00"/>
        <w:gridCol w:w="3426"/>
      </w:tblGrid>
      <w:tr>
        <w:trPr>
          <w:cantSplit/>
          <w:tblHeader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风险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对策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实现位置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越权提权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用户更新走字段白名单，role / status 仅监管与管理员可改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UserController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横向越权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企业列表强制过滤、单条校验归属，跨企业返回 403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UserScopes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密码泄露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BCrypt 哈希、password 字段 WRITE_ONLY、仅监管可查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PasswordHasher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暴力破解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连续 5 次失败锁定 5 分钟，返回 429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AuthServiceImpl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JWT 伪造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生产用 CARBON_JWT_SECRET 覆盖仓库默认密钥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JwtUtil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链接口暴露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WeBASE 5001/5002/5004、MySQL、Redis 绑定 127.0.0.1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部署配置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SQL 注入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MyBatis-Plus 参数绑定，不拼接 SQL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Mapper 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链上伪造</w:t>
            </w:r>
          </w:p>
        </w:tc>
        <w:tc>
          <w:tcPr>
            <w:tcW w:type="dxa" w:w="43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核验以链上状态为准；合约写入受 onlyWriter 限制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两个合约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7.2 安全验证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完成一轮针对提权、横向越权、跨企业伪造填报、密码泄露、WeBASE 端口暴露的攻击测试，修复后 49 项安全回归全部通过；随后 43 项功能回归与 62 项接口断言均通过。</w:t>
      </w:r>
    </w:p>
    <w:p>
      <w:pPr>
        <w:pStyle w:val="Heading2"/>
      </w:pPr>
      <w:r>
        <w:rPr>
          <w:rFonts w:ascii="Arial" w:eastAsia="Microsoft YaHei" w:hAnsi="Arial"/>
        </w:rPr>
        <w:t xml:space="preserve">7.3 部署加固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生产配置 /opt/carbon-trace/application-ubuntu.yml 不入库，仓库只保留开发默认值。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JWT 密钥通过环境变量 CARBON_JWT_SECRET 注入；配置中不写私钥，使用本地私钥账户或 WeBASE-Sign 的 signUserId。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WeBASE-Front、Node-Mgr、Sign 与 MySQL、Redis 全部绑定回环地址，仅 nginx 80 与后端 8080 对外。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用户资料更新走字段白名单，密码只能走改密 / 重置接口；登录失败计数在服务重启后清零。</w:t>
      </w:r>
    </w:p>
    <w:p>
      <w:pPr>
        <w:spacing w:after="120"/>
      </w:pPr>
    </w:p>
    <w:p>
      <w:pPr>
        <w:pStyle w:val="Heading1"/>
      </w:pPr>
      <w:r>
        <w:rPr>
          <w:rFonts w:ascii="Arial" w:eastAsia="Microsoft YaHei" w:hAnsi="Arial"/>
        </w:rPr>
        <w:t xml:space="preserve">8 部署与运维</w:t>
      </w:r>
    </w:p>
    <w:p>
      <w:pPr>
        <w:pStyle w:val="Heading2"/>
      </w:pPr>
      <w:r>
        <w:rPr>
          <w:rFonts w:ascii="Arial" w:eastAsia="Microsoft YaHei" w:hAnsi="Arial"/>
        </w:rPr>
        <w:t xml:space="preserve">8.1 环境拓扑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演示环境为 Ubuntu 26.04（WSL2，启用 systemd），承载 FISCO BCOS 3.x 双节点、WeBASE 3.1.1、MySQL 8.4、nginx 与 Spring Boot。九个服务由 systemd 托管，Windows 侧通过 WSL 的 localhost 转发访问系统。</w:t>
      </w:r>
    </w:p>
    <w:p>
      <w:pPr>
        <w:pStyle w:val="Heading2"/>
      </w:pPr>
      <w:r>
        <w:rPr>
          <w:rFonts w:ascii="Arial" w:eastAsia="Microsoft YaHei" w:hAnsi="Arial"/>
        </w:rPr>
        <w:t xml:space="preserve">8.2 服务清单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600"/>
        <w:gridCol w:w="3426"/>
      </w:tblGrid>
      <w:tr>
        <w:trPr>
          <w:cantSplit/>
          <w:tblHeader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服务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端口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绑定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nginx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80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0.0.0.0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静态资源 + /api 反向代理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carbon-trace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8080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0.0.0.0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Spring Boot 后端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mysql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3306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127.0.0.1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业务库 carbon_emission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webase-front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5002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127.0.0.1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合约调用与 ABI 编解码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webase-sign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5004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127.0.0.1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签名托管（可选）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webase-node-mgr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5001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127.0.0.1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节点管理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webase-web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5000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127.0.0.1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WeBASE 管理台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webase-node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20200 / 20201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本机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FISCO BCOS node0 / node1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redis-server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6379</w:t>
            </w:r>
          </w:p>
        </w:tc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127.0.0.1</w:t>
            </w:r>
          </w:p>
        </w:tc>
        <w:tc>
          <w:tcPr>
            <w:tcW w:type="dxa" w:w="34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环境组件（业务未使用）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8.3 启动方式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Windows 一键启动：双击 qidonqi/启动系统.bat，拉起 WSL Ubuntu、启动并检查九个服务、轮询 8080 接口，就绪后打开 http://localhost。加 dev 参数回到 Windows 本地 stub 开发模式。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Ubuntu 手动启动：sudo systemctl start mysql nginx webase-node webase-node-mgr webase-front webase-sign webase-web carbon-trace，随后 systemctl status carbon-trace 检查状态。</w:t>
      </w:r>
    </w:p>
    <w:p>
      <w:pPr>
        <w:pStyle w:val="Heading2"/>
      </w:pPr>
      <w:r>
        <w:rPr>
          <w:rFonts w:ascii="Arial" w:eastAsia="Microsoft YaHei" w:hAnsi="Arial"/>
        </w:rPr>
        <w:t xml:space="preserve">8.4 配置与密钥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链模式由 carbon.chain.mode 决定：webase 为真实链，stub 为离线开发桩。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合约地址、签名账户与 JWT 密钥只写在部署配置或环境变量中，不进入代码仓库。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历史认证可通过 carbon.chain.migration.enabled=true 一次性迁移上链，完成后需改回 false。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数据库密码、WeBASE 端口等敏感参数按环境调整，生产环境禁止使用仓库默认值。</w:t>
      </w:r>
    </w:p>
    <w:p>
      <w:pPr>
        <w:pStyle w:val="Heading2"/>
      </w:pPr>
      <w:r>
        <w:rPr>
          <w:rFonts w:ascii="Arial" w:eastAsia="Microsoft YaHei" w:hAnsi="Arial"/>
        </w:rPr>
        <w:t xml:space="preserve">8.5 运维检查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链连通性：启动日志打印 WeBASE-Front 地址、groupId、签名方式与最新区块高度。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一致性对账：启动时与每 5 分钟比对链上有效 / 已撤销计数，不一致输出 WARN。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链上同步失败：写入自动重试，最终失败生成 chain_failed 高危告警，可在监管端处置。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 w:hAnsi="Arial"/>
          <w:sz w:val="24"/>
          <w:szCs w:val="24"/>
        </w:rPr>
        <w:t xml:space="preserve">链健康接口：GET /api/blockchain/health 返回模式、可用性、最新区块与合约地址。</w:t>
      </w:r>
    </w:p>
    <w:p>
      <w:pPr>
        <w:spacing w:after="120"/>
      </w:pPr>
    </w:p>
    <w:p>
      <w:pPr>
        <w:pStyle w:val="Heading1"/>
      </w:pPr>
      <w:r>
        <w:rPr>
          <w:rFonts w:ascii="Arial" w:eastAsia="Microsoft YaHei" w:hAnsi="Arial"/>
        </w:rPr>
        <w:t xml:space="preserve">9 质量与性能</w:t>
      </w:r>
    </w:p>
    <w:p>
      <w:pPr>
        <w:pStyle w:val="Heading2"/>
      </w:pPr>
      <w:r>
        <w:rPr>
          <w:rFonts w:ascii="Arial" w:eastAsia="Microsoft YaHei" w:hAnsi="Arial"/>
        </w:rPr>
        <w:t xml:space="preserve">9.1 测试矩阵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4000"/>
        <w:gridCol w:w="2026"/>
      </w:tblGrid>
      <w:tr>
        <w:trPr>
          <w:cantSplit/>
          <w:tblHeader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类型</w:t>
            </w:r>
          </w:p>
        </w:tc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规模</w:t>
            </w:r>
          </w:p>
        </w:tc>
        <w:tc>
          <w:tcPr>
            <w:tcW w:type="dxa" w:w="4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覆盖内容</w:t>
            </w:r>
          </w:p>
        </w:tc>
        <w:tc>
          <w:tcPr>
            <w:tcW w:type="dxa" w:w="2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接口回归</w:t>
            </w:r>
          </w:p>
        </w:tc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62 项断言</w:t>
            </w:r>
          </w:p>
        </w:tc>
        <w:tc>
          <w:tcPr>
            <w:tcW w:type="dxa" w:w="4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鉴权、公共端、认证、越权、机构 / 企业 / 统计、链模式与合规判定</w:t>
            </w:r>
          </w:p>
        </w:tc>
        <w:tc>
          <w:tcPr>
            <w:tcW w:type="dxa" w:w="2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全部通过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功能回归</w:t>
            </w:r>
          </w:p>
        </w:tc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43 项</w:t>
            </w:r>
          </w:p>
        </w:tc>
        <w:tc>
          <w:tcPr>
            <w:tcW w:type="dxa" w:w="4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填报、审核、认证、撤销、删除、核验、统计</w:t>
            </w:r>
          </w:p>
        </w:tc>
        <w:tc>
          <w:tcPr>
            <w:tcW w:type="dxa" w:w="2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全部通过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安全回归</w:t>
            </w:r>
          </w:p>
        </w:tc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49 项</w:t>
            </w:r>
          </w:p>
        </w:tc>
        <w:tc>
          <w:tcPr>
            <w:tcW w:type="dxa" w:w="4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提权、横向越权、伪造填报、密码、端口暴露</w:t>
            </w:r>
          </w:p>
        </w:tc>
        <w:tc>
          <w:tcPr>
            <w:tcW w:type="dxa" w:w="2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全部通过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并发压测</w:t>
            </w:r>
          </w:p>
        </w:tc>
        <w:tc>
          <w:tcPr>
            <w:tcW w:type="dxa" w:w="1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2 轮</w:t>
            </w:r>
          </w:p>
        </w:tc>
        <w:tc>
          <w:tcPr>
            <w:tcW w:type="dxa" w:w="4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只读接口、链读接口、登录、并发填报</w:t>
            </w:r>
          </w:p>
        </w:tc>
        <w:tc>
          <w:tcPr>
            <w:tcW w:type="dxa" w:w="20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完成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9.2 压测结果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3400"/>
        <w:gridCol w:w="2226"/>
      </w:tblGrid>
      <w:tr>
        <w:trPr>
          <w:cantSplit/>
          <w:tblHeader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场景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并发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吞吐 / 时延</w:t>
            </w:r>
          </w:p>
        </w:tc>
        <w:tc>
          <w:tcPr>
            <w:tcW w:type="dxa" w:w="2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结论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公共企业列表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20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1380 RPS · p99 26ms</w:t>
            </w:r>
          </w:p>
        </w:tc>
        <w:tc>
          <w:tcPr>
            <w:tcW w:type="dxa" w:w="2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100% 成功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公共企业列表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100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1324 RPS · p99 100ms</w:t>
            </w:r>
          </w:p>
        </w:tc>
        <w:tc>
          <w:tcPr>
            <w:tcW w:type="dxa" w:w="2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100% 成功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认证记录列表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50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1094 RPS</w:t>
            </w:r>
          </w:p>
        </w:tc>
        <w:tc>
          <w:tcPr>
            <w:tcW w:type="dxa" w:w="2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100% 成功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监管统计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20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1234 RPS</w:t>
            </w:r>
          </w:p>
        </w:tc>
        <w:tc>
          <w:tcPr>
            <w:tcW w:type="dxa" w:w="2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100% 成功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登录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20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158 RPS · p99 77ms</w:t>
            </w:r>
          </w:p>
        </w:tc>
        <w:tc>
          <w:tcPr>
            <w:tcW w:type="dxa" w:w="2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BCrypt 成本可控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链上统计（回链）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40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14.5 RPS · p95 2982ms</w:t>
            </w:r>
          </w:p>
        </w:tc>
        <w:tc>
          <w:tcPr>
            <w:tcW w:type="dxa" w:w="2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受单次链读约 2 秒限制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并发填报（写链）</w:t>
            </w:r>
          </w:p>
        </w:tc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12</w:t>
            </w:r>
          </w:p>
        </w:tc>
        <w:tc>
          <w:tcPr>
            <w:tcW w:type="dxa" w:w="34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17.3s 全部完成</w:t>
            </w:r>
          </w:p>
        </w:tc>
        <w:tc>
          <w:tcPr>
            <w:tcW w:type="dxa" w:w="2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12/12 成功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9.3 并发缺陷修复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rPr>
          <w:cantSplit/>
          <w:tblHeader/>
        </w:trPr>
        <w:tc>
          <w:tcPr>
            <w:tcW w:type="dxa" w:w="2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缺陷</w:t>
            </w:r>
          </w:p>
        </w:tc>
        <w:tc>
          <w:tcPr>
            <w:tcW w:type="dxa" w:w="3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根因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修复结果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告警编号 ALT015 撞主键</w:t>
            </w:r>
          </w:p>
        </w:tc>
        <w:tc>
          <w:tcPr>
            <w:tcW w:type="dxa" w:w="3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selectCount + 1 在并发事务下互相看不到未提交插入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AtomicLong 计数器 + 取号 / 插入互斥 + 唯一键冲突重试；6/6 成功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排放编号 CR000063 撞主键</w:t>
            </w:r>
          </w:p>
        </w:tc>
        <w:tc>
          <w:tcPr>
            <w:tcW w:type="dxa" w:w="3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同一根因导致前端收到「数据已存在」400</w:t>
            </w:r>
          </w:p>
        </w:tc>
        <w:tc>
          <w:tcPr>
            <w:tcW w:type="dxa" w:w="3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同样方案修复；6/6、4/4 成功，并把链上占用检查移出锁外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9.4 容量结论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业务侧只读接口可稳定达到 1300+ RPS，瓶颈不在应用层；单笔上链约 2 秒是联盟链签名交易的固有开销，链读约 15–17 RPS、链写串行。当前演示规模满足要求；若要提升链上吞吐，需要交易批量提交或独立签名服务扩容。</w:t>
      </w:r>
    </w:p>
    <w:p>
      <w:pPr>
        <w:spacing w:after="120" w:line="360"/>
      </w:pPr>
      <w:r>
        <w:rPr>
          <w:rFonts w:ascii="Arial" w:eastAsia="Microsoft YaHei" w:hAnsi="Arial"/>
          <w:sz w:val="24"/>
          <w:szCs w:val="24"/>
        </w:rPr>
        <w:t xml:space="preserve">压测期间后端内存从 461MB 增至 560MB，日志未新增 ERROR，服务无重启、无连接池耗尽。</w:t>
      </w:r>
    </w:p>
    <w:p>
      <w:pPr>
        <w:spacing w:after="120"/>
      </w:pPr>
    </w:p>
    <w:p>
      <w:pPr>
        <w:pStyle w:val="Heading1"/>
      </w:pPr>
      <w:r>
        <w:rPr>
          <w:rFonts w:ascii="Arial" w:eastAsia="Microsoft YaHei" w:hAnsi="Arial"/>
        </w:rPr>
        <w:t xml:space="preserve">10 约束与演进</w:t>
      </w:r>
    </w:p>
    <w:p>
      <w:pPr>
        <w:pStyle w:val="Heading2"/>
      </w:pPr>
      <w:r>
        <w:rPr>
          <w:rFonts w:ascii="Arial" w:eastAsia="Microsoft YaHei" w:hAnsi="Arial"/>
        </w:rPr>
        <w:t xml:space="preserve">10.1 已知约束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建库脚本仍保留已下线的 blocks / block_transactions 建表语句；实际运行库为 11 张业务表 + 2 张历史辅助表，无任何哈希列。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合约不可原地升级，当前采用「部署新合约 + 迁移历史数据」的方式，未引入代理合约。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owner / writer 的授权变更通过 WeBASE-Front 控制台或部署脚本执行，平台内暂无管理页面。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演示账号统一弱密码 123456，已用登录锁定缓解爆破风险，但未实现首次登录强制改密。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sz w:val="24"/>
          <w:szCs w:val="24"/>
        </w:rPr>
        <w:t xml:space="preserve">WeBASE 3.x 事件查询不稳定，历史交易定位依赖区块解析，区块数量很大时需引入独立索引。</w:t>
      </w:r>
    </w:p>
    <w:p>
      <w:pPr>
        <w:pStyle w:val="Heading2"/>
      </w:pPr>
      <w:r>
        <w:rPr>
          <w:rFonts w:ascii="Arial" w:eastAsia="Microsoft YaHei" w:hAnsi="Arial"/>
        </w:rPr>
        <w:t xml:space="preserve">10.2 演进路线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5226"/>
      </w:tblGrid>
      <w:tr>
        <w:trPr>
          <w:cantSplit/>
          <w:tblHeader/>
        </w:trPr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优先级</w:t>
            </w:r>
          </w:p>
        </w:tc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方向</w:t>
            </w:r>
          </w:p>
        </w:tc>
        <w:tc>
          <w:tcPr>
            <w:tcW w:type="dxa" w:w="5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高</w:t>
            </w:r>
          </w:p>
        </w:tc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建库脚本对齐现状</w:t>
            </w:r>
          </w:p>
        </w:tc>
        <w:tc>
          <w:tcPr>
            <w:tcW w:type="dxa" w:w="5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移除已下线链表，补齐辅助表说明或迁移脚本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高</w:t>
            </w:r>
          </w:p>
        </w:tc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首次登录强制改密</w:t>
            </w:r>
          </w:p>
        </w:tc>
        <w:tc>
          <w:tcPr>
            <w:tcW w:type="dxa" w:w="5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消除演示弱密码，配合密码复杂度校验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中</w:t>
            </w:r>
          </w:p>
        </w:tc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代理合约与版本化</w:t>
            </w:r>
          </w:p>
        </w:tc>
        <w:tc>
          <w:tcPr>
            <w:tcW w:type="dxa" w:w="5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支持合约逻辑升级与历史数据迁移的可回滚流程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中</w:t>
            </w:r>
          </w:p>
        </w:tc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链上事件索引服务</w:t>
            </w:r>
          </w:p>
        </w:tc>
        <w:tc>
          <w:tcPr>
            <w:tcW w:type="dxa" w:w="5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独立消费区块事件，支撑大数据量检索与审计报表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低</w:t>
            </w:r>
          </w:p>
        </w:tc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多群组 / 多链适配</w:t>
            </w:r>
          </w:p>
        </w:tc>
        <w:tc>
          <w:tcPr>
            <w:tcW w:type="dxa" w:w="5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按区域或行业划分群组，网关层已抽象，可扩展部署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低</w:t>
            </w:r>
          </w:p>
        </w:tc>
        <w:tc>
          <w:tcPr>
            <w:tcW w:type="dxa" w:w="2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移动端扫码与消息通知</w:t>
            </w:r>
          </w:p>
        </w:tc>
        <w:tc>
          <w:tcPr>
            <w:tcW w:type="dxa" w:w="52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面向公众的扫码核验与告警推送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eastAsia="Microsoft YaHei" w:hAnsi="Arial"/>
        </w:rPr>
        <w:t xml:space="preserve">附录 A 技术栈与版本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26"/>
      </w:tblGrid>
      <w:tr>
        <w:trPr>
          <w:cantSplit/>
          <w:tblHeader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组件</w:t>
            </w:r>
          </w:p>
        </w:tc>
        <w:tc>
          <w:tcPr>
            <w:tcW w:type="dxa" w:w="3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版本 / 配置</w:t>
            </w:r>
          </w:p>
        </w:tc>
        <w:tc>
          <w:tcPr>
            <w:tcW w:type="dxa" w:w="36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JDK</w:t>
            </w:r>
          </w:p>
        </w:tc>
        <w:tc>
          <w:tcPr>
            <w:tcW w:type="dxa" w:w="3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25</w:t>
            </w:r>
          </w:p>
        </w:tc>
        <w:tc>
          <w:tcPr>
            <w:tcW w:type="dxa" w:w="36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后端编译与运行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Spring Boot</w:t>
            </w:r>
          </w:p>
        </w:tc>
        <w:tc>
          <w:tcPr>
            <w:tcW w:type="dxa" w:w="3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3.5.16</w:t>
            </w:r>
          </w:p>
        </w:tc>
        <w:tc>
          <w:tcPr>
            <w:tcW w:type="dxa" w:w="36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应用框架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MyBatis-Plus</w:t>
            </w:r>
          </w:p>
        </w:tc>
        <w:tc>
          <w:tcPr>
            <w:tcW w:type="dxa" w:w="3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3.5.9</w:t>
            </w:r>
          </w:p>
        </w:tc>
        <w:tc>
          <w:tcPr>
            <w:tcW w:type="dxa" w:w="36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数据访问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MySQL</w:t>
            </w:r>
          </w:p>
        </w:tc>
        <w:tc>
          <w:tcPr>
            <w:tcW w:type="dxa" w:w="3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8.4</w:t>
            </w:r>
          </w:p>
        </w:tc>
        <w:tc>
          <w:tcPr>
            <w:tcW w:type="dxa" w:w="36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业务数据库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FISCO BCOS</w:t>
            </w:r>
          </w:p>
        </w:tc>
        <w:tc>
          <w:tcPr>
            <w:tcW w:type="dxa" w:w="3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3.x，group0</w:t>
            </w:r>
          </w:p>
        </w:tc>
        <w:tc>
          <w:tcPr>
            <w:tcW w:type="dxa" w:w="36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联盟链网络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WeBASE</w:t>
            </w:r>
          </w:p>
        </w:tc>
        <w:tc>
          <w:tcPr>
            <w:tcW w:type="dxa" w:w="3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3.1.1</w:t>
            </w:r>
          </w:p>
        </w:tc>
        <w:tc>
          <w:tcPr>
            <w:tcW w:type="dxa" w:w="36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Front / Sign / Node-Mgr / Web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Solidity</w:t>
            </w:r>
          </w:p>
        </w:tc>
        <w:tc>
          <w:tcPr>
            <w:tcW w:type="dxa" w:w="3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0.8.x，solc 0.8.30</w:t>
            </w:r>
          </w:p>
        </w:tc>
        <w:tc>
          <w:tcPr>
            <w:tcW w:type="dxa" w:w="36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合约编译（--via-ir --evm-version london）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Vue / Vite</w:t>
            </w:r>
          </w:p>
        </w:tc>
        <w:tc>
          <w:tcPr>
            <w:tcW w:type="dxa" w:w="36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Vue 3 / Vite 5</w:t>
            </w:r>
          </w:p>
        </w:tc>
        <w:tc>
          <w:tcPr>
            <w:tcW w:type="dxa" w:w="36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前端框架与构建</w:t>
            </w:r>
          </w:p>
        </w:tc>
      </w:tr>
    </w:tbl>
    <w:p>
      <w:pPr>
        <w:pStyle w:val="Heading1"/>
      </w:pPr>
      <w:r>
        <w:rPr>
          <w:rFonts w:ascii="Arial" w:eastAsia="Microsoft YaHei" w:hAnsi="Arial"/>
        </w:rPr>
        <w:t xml:space="preserve">附录 B 源码结构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/>
          <w:tblHeader/>
        </w:trPr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目录</w:t>
            </w:r>
          </w:p>
        </w:tc>
        <w:tc>
          <w:tcPr>
            <w:tcW w:type="dxa" w:w="4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shd w:fill="E6F0E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/>
                <w:bCs/>
                <w:color w:val="0D6B4F"/>
                <w:sz w:val="22"/>
                <w:szCs w:val="22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houduan/src/main/java/com/carbon/trace/chain</w:t>
            </w:r>
          </w:p>
        </w:tc>
        <w:tc>
          <w:tcPr>
            <w:tcW w:type="dxa" w:w="4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链网关抽象、WebASE 实现、离线桩、交易定位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houduan/src/main/java/com/carbon/trace/controller</w:t>
            </w:r>
          </w:p>
        </w:tc>
        <w:tc>
          <w:tcPr>
            <w:tcW w:type="dxa" w:w="4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16 个 Controller，76 个接口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houduan/src/main/java/com/carbon/trace/service/impl</w:t>
            </w:r>
          </w:p>
        </w:tc>
        <w:tc>
          <w:tcPr>
            <w:tcW w:type="dxa" w:w="4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14 个业务服务实现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houduan/src/main/java/com/carbon/trace/entity、mapper</w:t>
            </w:r>
          </w:p>
        </w:tc>
        <w:tc>
          <w:tcPr>
            <w:tcW w:type="dxa" w:w="4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11 个实体与 Mapper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houduan/contracts</w:t>
            </w:r>
          </w:p>
        </w:tc>
        <w:tc>
          <w:tcPr>
            <w:tcW w:type="dxa" w:w="4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两个 Solidity 合约与部署脚本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houduan/src/main/resources/chain</w:t>
            </w:r>
          </w:p>
        </w:tc>
        <w:tc>
          <w:tcPr>
            <w:tcW w:type="dxa" w:w="4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合约 ABI 文件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qianduan/src/views</w:t>
            </w:r>
          </w:p>
        </w:tc>
        <w:tc>
          <w:tcPr>
            <w:tcW w:type="dxa" w:w="4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企业 6 / 审核 4 / 监管 8 / 公共 4 个视图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database</w:t>
            </w:r>
          </w:p>
        </w:tc>
        <w:tc>
          <w:tcPr>
            <w:tcW w:type="dxa" w:w="4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建表、触发器与结构对齐脚本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carbon-trace-design</w:t>
            </w:r>
          </w:p>
        </w:tc>
        <w:tc>
          <w:tcPr>
            <w:tcW w:type="dxa" w:w="4826"/>
            <w:tcBorders>
              <w:top w:val="single" w:color="BFCFC6" w:sz="4"/>
              <w:left w:val="single" w:color="BFCFC6" w:sz="4"/>
              <w:bottom w:val="single" w:color="BFCFC6" w:sz="4"/>
              <w:right w:val="single" w:color="BFCFC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Arial" w:eastAsia="Microsoft YaHei" w:hAnsi="Arial"/>
                <w:b w:val="false"/>
                <w:bCs w:val="false"/>
                <w:color w:val="14231B"/>
                <w:sz w:val="22"/>
                <w:szCs w:val="22"/>
              </w:rPr>
              <w:t xml:space="preserve">系统设计方案 HTML 报告与在线演示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5F7067"/>
        <w:sz w:val="18"/>
        <w:szCs w:val="18"/>
      </w:rPr>
      <w:t xml:space="preserve">第 </w:t>
    </w:r>
    <w:r>
      <w:rPr>
        <w:rFonts w:ascii="Arial" w:eastAsia="Microsoft YaHei" w:hAnsi="Arial"/>
        <w:color w:val="5F7067"/>
        <w:sz w:val="18"/>
        <w:szCs w:val="18"/>
      </w:rPr>
      <w:fldChar w:fldCharType="begin"/>
    </w:r>
    <w:r>
      <w:rPr>
        <w:rFonts w:ascii="Arial" w:eastAsia="Microsoft YaHei" w:hAnsi="Arial"/>
        <w:color w:val="5F7067"/>
        <w:sz w:val="18"/>
        <w:szCs w:val="18"/>
      </w:rPr>
      <w:instrText xml:space="preserve">PAGE</w:instrText>
    </w:r>
    <w:r>
      <w:rPr>
        <w:rFonts w:ascii="Arial" w:eastAsia="Microsoft YaHei" w:hAnsi="Arial"/>
        <w:color w:val="5F7067"/>
        <w:sz w:val="18"/>
        <w:szCs w:val="18"/>
      </w:rPr>
      <w:fldChar w:fldCharType="separate"/>
    </w:r>
    <w:r>
      <w:rPr>
        <w:rFonts w:ascii="Arial" w:eastAsia="Microsoft YaHei" w:hAnsi="Arial"/>
        <w:color w:val="5F7067"/>
        <w:sz w:val="18"/>
        <w:szCs w:val="18"/>
      </w:rPr>
      <w:fldChar w:fldCharType="end"/>
    </w:r>
    <w:r>
      <w:rPr>
        <w:rFonts w:ascii="Arial" w:eastAsia="Microsoft YaHei" w:hAnsi="Arial"/>
        <w:color w:val="5F7067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color w:val="5F7067"/>
        <w:sz w:val="18"/>
        <w:szCs w:val="18"/>
      </w:rPr>
      <w:t xml:space="preserve">碳链通 · 企业碳排放认证与溯源系统设计方案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  <w:rPr>
        <w:rFonts w:ascii="Arial" w:eastAsia="Microsoft YaHei" w:hAnsi="Arial"/>
        <w:sz w:val="24"/>
        <w:szCs w:val="24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  <w:rPr>
        <w:rFonts w:ascii="Arial" w:eastAsia="Microsoft YaHei" w:hAnsi="Arial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14231B"/>
        <w:sz w:val="24"/>
        <w:szCs w:val="24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80" w:before="360"/>
      <w:outlineLvl w:val="0"/>
    </w:pPr>
    <w:rPr>
      <w:rFonts w:ascii="Arial" w:eastAsia="Microsoft YaHei" w:hAnsi="Arial"/>
      <w:b/>
      <w:bCs/>
      <w:color w:val="0D6B4F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240"/>
      <w:outlineLvl w:val="1"/>
    </w:pPr>
    <w:rPr>
      <w:rFonts w:ascii="Arial" w:eastAsia="Microsoft YaHei" w:hAnsi="Arial"/>
      <w:b/>
      <w:bCs/>
      <w:color w:val="14231B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00" w:before="180"/>
      <w:outlineLvl w:val="2"/>
    </w:pPr>
    <w:rPr>
      <w:rFonts w:ascii="Arial" w:eastAsia="Microsoft YaHei" w:hAnsi="Arial"/>
      <w:b/>
      <w:bCs/>
      <w:color w:val="1F8A70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2026-10-25T06:51:49.742Z</dcterms:created>
  <dcterms:modified xsi:type="dcterms:W3CDTF">2026-10-25T06:51:49.750Z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