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1E9686">
      <w:pPr>
        <w:jc w:val="center"/>
        <w:rPr>
          <w:rFonts w:hint="eastAsia" w:ascii="方正公文小标宋" w:hAnsi="方正公文小标宋" w:eastAsia="方正公文小标宋" w:cs="方正公文小标宋"/>
          <w:sz w:val="32"/>
          <w:szCs w:val="32"/>
          <w:lang w:val="en-US" w:eastAsia="zh-CN"/>
        </w:rPr>
      </w:pPr>
      <w:r>
        <w:rPr>
          <w:rFonts w:hint="eastAsia" w:ascii="方正公文小标宋" w:hAnsi="方正公文小标宋" w:eastAsia="方正公文小标宋" w:cs="方正公文小标宋"/>
          <w:sz w:val="32"/>
          <w:szCs w:val="32"/>
          <w:lang w:val="en-US" w:eastAsia="zh-CN"/>
        </w:rPr>
        <w:t>青少年模拟政协提案征集活动提案作品表</w:t>
      </w:r>
      <w:bookmarkStart w:id="0" w:name="_GoBack"/>
      <w:bookmarkEnd w:id="0"/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99BB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50F5061">
            <w:pPr>
              <w:jc w:val="left"/>
              <w:rPr>
                <w:rFonts w:hint="default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vertAlign w:val="baseline"/>
                <w:lang w:val="en-US" w:eastAsia="zh-CN"/>
              </w:rPr>
              <w:t>组别</w:t>
            </w:r>
          </w:p>
        </w:tc>
        <w:tc>
          <w:tcPr>
            <w:tcW w:w="2130" w:type="dxa"/>
          </w:tcPr>
          <w:p w14:paraId="50BFD93E">
            <w:pPr>
              <w:jc w:val="left"/>
              <w:rPr>
                <w:rFonts w:hint="default" w:ascii="仿宋" w:hAnsi="仿宋" w:eastAsia="仿宋" w:cs="仿宋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vertAlign w:val="baseline"/>
                <w:lang w:val="en-US" w:eastAsia="zh-CN"/>
              </w:rPr>
              <w:t>初中组</w:t>
            </w:r>
          </w:p>
        </w:tc>
        <w:tc>
          <w:tcPr>
            <w:tcW w:w="2131" w:type="dxa"/>
          </w:tcPr>
          <w:p w14:paraId="3418C961">
            <w:pPr>
              <w:jc w:val="left"/>
              <w:rPr>
                <w:rFonts w:hint="default" w:ascii="仿宋" w:hAnsi="仿宋" w:eastAsia="仿宋" w:cs="仿宋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vertAlign w:val="baseline"/>
                <w:lang w:val="en-US" w:eastAsia="zh-CN"/>
              </w:rPr>
              <w:t>提案人</w:t>
            </w:r>
          </w:p>
        </w:tc>
        <w:tc>
          <w:tcPr>
            <w:tcW w:w="2131" w:type="dxa"/>
          </w:tcPr>
          <w:p w14:paraId="1655FCD0">
            <w:pPr>
              <w:jc w:val="left"/>
              <w:rPr>
                <w:rFonts w:hint="default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vertAlign w:val="baseline"/>
                <w:lang w:val="en-US" w:eastAsia="zh-CN"/>
              </w:rPr>
              <w:t>何祥烁、王予承</w:t>
            </w:r>
          </w:p>
        </w:tc>
      </w:tr>
      <w:tr w14:paraId="768E0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5F42DAE2">
            <w:pPr>
              <w:jc w:val="left"/>
              <w:rPr>
                <w:rFonts w:hint="default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vertAlign w:val="baseline"/>
                <w:lang w:val="en-US" w:eastAsia="zh-CN"/>
              </w:rPr>
              <w:t>单位</w:t>
            </w:r>
          </w:p>
        </w:tc>
        <w:tc>
          <w:tcPr>
            <w:tcW w:w="2130" w:type="dxa"/>
          </w:tcPr>
          <w:p w14:paraId="39F20210">
            <w:pPr>
              <w:jc w:val="left"/>
              <w:rPr>
                <w:rFonts w:hint="default" w:ascii="仿宋" w:hAnsi="仿宋" w:eastAsia="仿宋" w:cs="仿宋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vertAlign w:val="baseline"/>
                <w:lang w:val="en-US" w:eastAsia="zh-CN"/>
              </w:rPr>
              <w:t>厦门市莲花中学</w:t>
            </w:r>
          </w:p>
        </w:tc>
        <w:tc>
          <w:tcPr>
            <w:tcW w:w="2131" w:type="dxa"/>
          </w:tcPr>
          <w:p w14:paraId="3B896EE0">
            <w:pPr>
              <w:jc w:val="left"/>
              <w:rPr>
                <w:rFonts w:hint="default" w:ascii="仿宋" w:hAnsi="仿宋" w:eastAsia="仿宋" w:cs="仿宋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vertAlign w:val="baseline"/>
                <w:lang w:val="en-US" w:eastAsia="zh-CN"/>
              </w:rPr>
              <w:t>指导老师</w:t>
            </w:r>
          </w:p>
        </w:tc>
        <w:tc>
          <w:tcPr>
            <w:tcW w:w="2131" w:type="dxa"/>
          </w:tcPr>
          <w:p w14:paraId="0873CD17">
            <w:pPr>
              <w:jc w:val="left"/>
              <w:rPr>
                <w:rFonts w:hint="default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vertAlign w:val="baseline"/>
                <w:lang w:val="en-US" w:eastAsia="zh-CN"/>
              </w:rPr>
              <w:t>郭思琦老师</w:t>
            </w:r>
          </w:p>
        </w:tc>
      </w:tr>
      <w:tr w14:paraId="45C2D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FC5AC8D">
            <w:pPr>
              <w:jc w:val="left"/>
              <w:rPr>
                <w:rFonts w:hint="default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32"/>
                <w:szCs w:val="32"/>
                <w:vertAlign w:val="baseline"/>
                <w:lang w:val="en-US" w:eastAsia="zh-CN"/>
              </w:rPr>
              <w:t>题目</w:t>
            </w:r>
          </w:p>
        </w:tc>
        <w:tc>
          <w:tcPr>
            <w:tcW w:w="6392" w:type="dxa"/>
            <w:gridSpan w:val="3"/>
          </w:tcPr>
          <w:p w14:paraId="7D6F11C6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方正小标宋简体" w:hAnsi="方正小标宋简体" w:eastAsia="方正小标宋简体"/>
                <w:sz w:val="36"/>
                <w:szCs w:val="36"/>
              </w:rPr>
              <w:t>关于校门口不规范摆摊的提案</w:t>
            </w:r>
          </w:p>
        </w:tc>
      </w:tr>
      <w:tr w14:paraId="79D15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  <w:gridSpan w:val="4"/>
          </w:tcPr>
          <w:p w14:paraId="6A9B056E">
            <w:pPr>
              <w:jc w:val="center"/>
              <w:rPr>
                <w:rFonts w:hint="eastAsia" w:ascii="方正小标宋简体" w:hAnsi="方正小标宋简体"/>
                <w:sz w:val="36"/>
                <w:szCs w:val="36"/>
              </w:rPr>
            </w:pPr>
          </w:p>
          <w:p w14:paraId="0FF6680A">
            <w:pPr>
              <w:jc w:val="left"/>
              <w:rPr>
                <w:rFonts w:hint="eastAsia" w:ascii="黑体" w:hAnsi="黑体" w:eastAsia="黑体"/>
                <w:sz w:val="32"/>
                <w:szCs w:val="32"/>
              </w:rPr>
            </w:pPr>
            <w:r>
              <w:rPr>
                <w:rFonts w:hint="eastAsia" w:ascii="黑体" w:hAnsi="黑体" w:eastAsia="黑体"/>
                <w:sz w:val="32"/>
                <w:szCs w:val="32"/>
                <w:lang w:val="en-US" w:eastAsia="zh-CN"/>
              </w:rPr>
              <w:t>一、</w:t>
            </w:r>
            <w:r>
              <w:rPr>
                <w:rFonts w:hint="eastAsia" w:ascii="黑体" w:hAnsi="黑体" w:eastAsia="黑体"/>
                <w:sz w:val="32"/>
                <w:szCs w:val="32"/>
              </w:rPr>
              <w:t>背景和问题</w:t>
            </w:r>
          </w:p>
          <w:p w14:paraId="2EF102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00" w:firstLineChars="200"/>
              <w:jc w:val="left"/>
              <w:textAlignment w:val="auto"/>
              <w:rPr>
                <w:rFonts w:ascii="仿宋" w:hAnsi="仿宋" w:eastAsia="仿宋"/>
                <w:sz w:val="30"/>
                <w:szCs w:val="30"/>
              </w:rPr>
            </w:pPr>
            <w:r>
              <w:rPr>
                <w:rFonts w:hint="eastAsia" w:ascii="仿宋" w:hAnsi="仿宋" w:eastAsia="仿宋"/>
                <w:sz w:val="30"/>
                <w:szCs w:val="30"/>
              </w:rPr>
              <w:t>每日放学，莲花中学新校区校门口在放学时段会聚集小贩摆摊售卖食物，从而导致大批学生留下来购买，挡住人行道约20米。使其他学生、非机动车无法通行，同学和非机动车被迫绕道机动车道，增加了交通事故风险。地面残留的污渍、垃圾，影响到市容卫生。</w:t>
            </w:r>
          </w:p>
          <w:p w14:paraId="64984116">
            <w:pPr>
              <w:jc w:val="left"/>
              <w:rPr>
                <w:rFonts w:ascii="黑体" w:hAnsi="黑体" w:eastAsia="黑体"/>
                <w:sz w:val="32"/>
                <w:szCs w:val="32"/>
              </w:rPr>
            </w:pPr>
            <w:r>
              <w:rPr>
                <w:rFonts w:hint="eastAsia" w:ascii="黑体" w:hAnsi="黑体" w:eastAsia="黑体"/>
                <w:sz w:val="32"/>
                <w:szCs w:val="32"/>
                <w:lang w:val="en-US" w:eastAsia="zh-CN"/>
              </w:rPr>
              <w:t>二、</w:t>
            </w:r>
            <w:r>
              <w:rPr>
                <w:rFonts w:hint="eastAsia" w:ascii="黑体" w:hAnsi="黑体" w:eastAsia="黑体"/>
                <w:sz w:val="32"/>
                <w:szCs w:val="32"/>
              </w:rPr>
              <w:t>原因分析</w:t>
            </w:r>
          </w:p>
          <w:p w14:paraId="5D261D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jc w:val="left"/>
              <w:textAlignment w:val="auto"/>
              <w:rPr>
                <w:rFonts w:hint="eastAsia" w:ascii="仿宋" w:hAnsi="仿宋" w:eastAsia="仿宋"/>
                <w:sz w:val="32"/>
                <w:szCs w:val="32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(</w:t>
            </w:r>
            <w:r>
              <w:rPr>
                <w:rFonts w:hint="eastAsia" w:ascii="仿宋" w:hAnsi="仿宋" w:eastAsia="仿宋"/>
                <w:sz w:val="32"/>
                <w:szCs w:val="32"/>
              </w:rPr>
              <w:t>一）学生存在客观需求。 放学时段学生普遍有补充能量的需求，流动摊贩食品价格低廉、购买便捷，受到部分学生青睐，而周边正规餐饮店面距离较远或价格偏高，难以满足学生即时需求。</w:t>
            </w:r>
          </w:p>
          <w:p w14:paraId="1A90A8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jc w:val="left"/>
              <w:textAlignment w:val="auto"/>
              <w:rPr>
                <w:rFonts w:hint="eastAsia" w:ascii="仿宋" w:hAnsi="仿宋" w:eastAsia="仿宋"/>
                <w:sz w:val="32"/>
                <w:szCs w:val="32"/>
              </w:rPr>
            </w:pPr>
            <w:r>
              <w:rPr>
                <w:rFonts w:hint="eastAsia" w:ascii="仿宋" w:hAnsi="仿宋" w:eastAsia="仿宋"/>
                <w:sz w:val="32"/>
                <w:szCs w:val="32"/>
              </w:rPr>
              <w:t>（二）摊贩逐利驱动。 流动摊点成本低、利润高，校门口人流量大、消费群体集中，为摊贩提供了稳定的盈利空间。</w:t>
            </w:r>
          </w:p>
          <w:p w14:paraId="6A5586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default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</w:rPr>
              <w:t>（三）监管存在盲区。 放学时段虽为摆摊高峰，但现场极少见到城管、交警等治理人员进行有效疏导，摊位长期处于无序经营状态。学校没有执法权，难以实施有效管理。部门间协同配合不够紧密，日常监管与集中整治衔接不到位，治理成果难以持续巩固</w:t>
            </w:r>
            <w:r>
              <w:rPr>
                <w:rFonts w:hint="eastAsia" w:ascii="仿宋" w:hAnsi="仿宋" w:eastAsia="仿宋"/>
                <w:sz w:val="32"/>
                <w:szCs w:val="32"/>
                <w:lang w:eastAsia="zh-CN"/>
              </w:rPr>
              <w:t>。</w:t>
            </w: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 xml:space="preserve"> </w:t>
            </w:r>
          </w:p>
          <w:p w14:paraId="5A94E7E4">
            <w:pPr>
              <w:jc w:val="left"/>
              <w:rPr>
                <w:rFonts w:hint="eastAsia" w:ascii="黑体" w:hAnsi="黑体" w:eastAsia="黑体"/>
                <w:sz w:val="32"/>
                <w:szCs w:val="32"/>
                <w:lang w:val="en-US" w:eastAsia="zh-CN"/>
              </w:rPr>
            </w:pPr>
            <w:r>
              <w:rPr>
                <w:rFonts w:hint="eastAsia" w:ascii="黑体" w:hAnsi="黑体" w:eastAsia="黑体"/>
                <w:sz w:val="32"/>
                <w:szCs w:val="32"/>
                <w:lang w:val="en-US" w:eastAsia="zh-CN"/>
              </w:rPr>
              <w:t>三、建议</w:t>
            </w:r>
          </w:p>
          <w:p w14:paraId="3447B3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为切实解决莲花中学新校区校门口流动摊贩占道经营问题，保障学生出行安全与食品健康，提出以下建议：</w:t>
            </w:r>
          </w:p>
          <w:p w14:paraId="1D94A5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（一）坚持疏堵结合，科学划定经营区域</w:t>
            </w:r>
          </w:p>
          <w:p w14:paraId="3303CF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建议城管部门联合市场监管部门，科学划定校园周边“严禁摆摊设点区”和“规范经营疏导点”。参照各地通行做法，将校园周边50米至200米范围内划定为严管禁设区，严禁任何流动摊点占道经营。同时，在校园周边适当区域（如闲置空地、街区一侧等）设立固定集中售卖点，引导摊贩集中规范经营。对入驻摊贩实行登记造册、统一管理，明确经营时间、食品准入和卫生标准等要求。</w:t>
            </w:r>
          </w:p>
          <w:p w14:paraId="4CE056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（二）强化高峰时段执法巡查，建立常态化监管机制</w:t>
            </w:r>
          </w:p>
          <w:p w14:paraId="2128C0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建议城管、交警等部门在上下学高峰时段实行“定人定岗”定点值守。组织执法力量开展“常态化+突击式”联合整治，依法劝离违规占道经营摊点。建立校园周边流动摊贩常态化巡查机制，优化“定点值守+动态巡查+视频监控”监管模式，严防违规摊点反弹回潮。</w:t>
            </w:r>
          </w:p>
          <w:p w14:paraId="4F25AA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（三）落实食品安全监管，保障学生“舌尖上的安全”</w:t>
            </w:r>
          </w:p>
          <w:p w14:paraId="387C76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建议市场监管部门将校园周边食品类流动摊贩纳入重点监管名录。对符合条件的摊贩办理备案登记，要求所有合规摊点必须统一悬挂从业人员有效健康证明，自觉接受学生、家长和社会公众的监督。定期对集中售卖点开展食品安全专项检查，严控食材质量。市场监管部门可联合学校定期开展食品安全科普进校园活动，通过案例讲解、实物展示引导学生主动抵制不合格食品。</w:t>
            </w:r>
          </w:p>
          <w:p w14:paraId="490260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（四）学校主动参与，加强学生教育与引导</w:t>
            </w:r>
          </w:p>
          <w:p w14:paraId="2152E8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建议学校加强学生食品安全和交通安全教育，通过主题班会、专题讲座等形式，增强学生安全与卫生意识，引导学生自觉抵制无照经营的小吃摊。学校可组织教师、家长志愿者在放学时段参与校门口秩序维护，配合执法部门做好劝导工作。同时，学校可积极与相关部门沟通，推动“一校一策”精细化管理方案落地实施。</w:t>
            </w:r>
          </w:p>
          <w:p w14:paraId="5DEC1D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（五）建立多部门联动机制，压实长效管理责任</w:t>
            </w:r>
          </w:p>
          <w:p w14:paraId="199FA8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建议由教育、城管、公安交管、市场监管等部门组成联动工作机制，加强定期会商、信息共享、联合执法。将校园周边环境治理成效纳入相关部门年度考核内容。建立问题排查、分类交办、跟踪反馈的闭环工作流程，确保治理工作常态化、长效化，为广大师生营造安全、整洁、有序的校园周边环境。</w:t>
            </w:r>
          </w:p>
          <w:p w14:paraId="552D2F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（六）实现学生举报渠道</w:t>
            </w:r>
          </w:p>
          <w:p w14:paraId="4F4AF8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建议增加校园内学生举报校园周边食品安全举报渠道，并由学校定期上交管理层，拓宽举报人群范围。</w:t>
            </w:r>
          </w:p>
          <w:p w14:paraId="0424A4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640" w:firstLineChars="200"/>
              <w:textAlignment w:val="auto"/>
              <w:rPr>
                <w:rFonts w:hint="default" w:ascii="仿宋" w:hAnsi="仿宋" w:eastAsia="仿宋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另我们建议优化学校配餐食品种类、时间，部分同学购买</w:t>
            </w:r>
            <w:r>
              <w:rPr>
                <w:rFonts w:hint="eastAsia" w:ascii="仿宋" w:hAnsi="仿宋" w:eastAsia="仿宋"/>
                <w:sz w:val="32"/>
                <w:szCs w:val="32"/>
              </w:rPr>
              <w:t>摊贩食品</w:t>
            </w:r>
            <w:r>
              <w:rPr>
                <w:rFonts w:hint="eastAsia" w:ascii="仿宋" w:hAnsi="仿宋" w:eastAsia="仿宋"/>
                <w:sz w:val="32"/>
                <w:szCs w:val="32"/>
                <w:lang w:val="en-US" w:eastAsia="zh-CN"/>
              </w:rPr>
              <w:t>是因为学校食品不够丰富，同时放学时间较晚，所以购买零食解馋。</w:t>
            </w:r>
          </w:p>
          <w:p w14:paraId="12355136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605DAC2A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71C6C5D7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211E8EB8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55FB9E0B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04DBBAB2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3118B924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51D115BA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43F9DB4B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41985714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5B4EA235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1BA7A40C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2FB0E663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4D3DD6A4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196109D2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71628E28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2DDA18F9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  <w:p w14:paraId="5CBBB6D5">
            <w:pPr>
              <w:jc w:val="left"/>
              <w:rPr>
                <w:rFonts w:hint="eastAsia" w:ascii="方正公文小标宋" w:hAnsi="方正公文小标宋" w:eastAsia="方正公文小标宋" w:cs="方正公文小标宋"/>
                <w:sz w:val="32"/>
                <w:szCs w:val="32"/>
                <w:vertAlign w:val="baseline"/>
                <w:lang w:val="en-US" w:eastAsia="zh-CN"/>
              </w:rPr>
            </w:pPr>
          </w:p>
        </w:tc>
      </w:tr>
    </w:tbl>
    <w:p w14:paraId="65B44501">
      <w:pPr>
        <w:jc w:val="left"/>
        <w:rPr>
          <w:rFonts w:hint="eastAsia" w:ascii="方正公文小标宋" w:hAnsi="方正公文小标宋" w:eastAsia="方正公文小标宋" w:cs="方正公文小标宋"/>
          <w:sz w:val="32"/>
          <w:szCs w:val="32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E04640D7-8723-4E21-8A67-4AB1E5D49592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大标宋简体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2" w:fontKey="{8CD5B83D-E387-43CA-AE2F-73DC23990CA4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3" w:fontKey="{80BE6208-DEED-41B0-88A4-35409DBDA000}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1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7956E1"/>
    <w:rsid w:val="1077526D"/>
    <w:rsid w:val="29F050DC"/>
    <w:rsid w:val="367956E1"/>
    <w:rsid w:val="3D581D1F"/>
    <w:rsid w:val="41613513"/>
    <w:rsid w:val="49FC1D63"/>
    <w:rsid w:val="56F20776"/>
    <w:rsid w:val="69CF4947"/>
    <w:rsid w:val="6C315445"/>
    <w:rsid w:val="6D4F6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797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2026-08-28T07:13:00Z</dcterms:created>
  <dc:creator>WPS_1569847764</dc:creator>
  <cp:lastModifiedBy>WPS_1569847764</cp:lastModifiedBy>
  <dcterms:modified xsi:type="dcterms:W3CDTF">2026-08-30T09:21:54Z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C00BE8EF9D9C4ACB9B444BBEAEBF7B43_13</vt:lpwstr>
  </property>
  <property fmtid="{D5CDD505-2E9C-101B-9397-08002B2CF9AE}" pid="4" name="KSOTemplateDocerSaveRecord">
    <vt:lpwstr>eyJoZGlkIjoiNTI1YjZjNWU3OWYyMDg0MTE1NTQ2MDk1OTA4YjU2ZjIiLCJ1c2VySWQiOiI2Nzg4Njk3NTQifQ==</vt:lpwstr>
  </property>
</Properties>
</file>