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AC0295">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前期策划分阶段编制要点如下：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AC0295">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AC0295">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AC0295">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高填/深挖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terrainLandformsList4Picture}}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Pr>
          <w:rFonts w:ascii="仿宋" w:hAnsi="仿宋"/>
          <w:color w:val="0000FF"/>
        </w:rPr>
        <w:t>mainTypicalGeologySurveyList4Picture}}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badGeologySurveyList4Picture}}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mainStructureHydrologyList4Picture}}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Pr>
          <w:rFonts w:ascii="仿宋" w:hAnsi="仿宋"/>
          <w:color w:val="0000FF"/>
        </w:rPr>
        <w:t>constructionInterferenceList4Picture}}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AC0295">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AC0295">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AC0295">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AC0295">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（下方表直接放1.5.1、1.5.2）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外账比例</w:t>
            </w:r>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一工区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AC0295">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林泰格2000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AC0295">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AC0295">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编制（含勘查设计、技术准备、征地拆迁、轧石、物设采购等关键工作）总体进度计划，作为附件4-1。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AC0295">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轧石总周期（天）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轧石机选型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AC0295">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方案一</w:t>
            </w:r>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AC0295">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AC0295">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拟选方案</w:t>
            </w:r>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proofErr w:type="spellStart"/>
            <w:r w:rsidRPr="001422B1">
              <w:rPr>
                <w:rFonts w:ascii="仿宋" w:hAnsi="仿宋"/>
                <w:color w:val="0000FF"/>
                <w:sz w:val="21"/>
                <w:szCs w:val="21"/>
              </w:rPr>
              <w:t>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proofErr w:type="spellStart"/>
            <w:r w:rsidRPr="001422B1">
              <w:rPr>
                <w:rFonts w:ascii="仿宋" w:hAnsi="仿宋"/>
                <w:sz w:val="21"/>
                <w:szCs w:val="21"/>
              </w:rPr>
              <w:t>serialNum</w:t>
            </w:r>
            <w:proofErr w:type="spellEnd"/>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1422B1">
              <w:rPr>
                <w:rFonts w:ascii="仿宋" w:hAnsi="仿宋"/>
                <w:sz w:val="21"/>
                <w:szCs w:val="21"/>
              </w:rPr>
              <w:t>equName</w:t>
            </w:r>
            <w:proofErr w:type="spellEnd"/>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Pr="001422B1">
              <w:rPr>
                <w:rFonts w:ascii="仿宋" w:hAnsi="仿宋"/>
                <w:sz w:val="21"/>
                <w:szCs w:val="21"/>
              </w:rPr>
              <w:t>reqNum</w:t>
            </w:r>
            <w:proofErr w:type="spellEnd"/>
            <w:r w:rsidRPr="001422B1">
              <w:rPr>
                <w:rFonts w:ascii="仿宋" w:hAnsi="仿宋"/>
                <w:sz w:val="21"/>
                <w:szCs w:val="21"/>
              </w:rPr>
              <w:t>]</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ED028D">
              <w:rPr>
                <w:rFonts w:ascii="仿宋" w:hAnsi="仿宋"/>
                <w:color w:val="0000FF"/>
                <w:sz w:val="21"/>
                <w:szCs w:val="21"/>
              </w:rPr>
              <w:t>experimentList</w:t>
            </w:r>
            <w:proofErr w:type="spellEnd"/>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00ED028D" w:rsidRPr="00ED028D">
              <w:rPr>
                <w:rFonts w:ascii="仿宋" w:hAnsi="仿宋"/>
                <w:b w:val="0"/>
                <w:bCs w:val="0"/>
                <w:sz w:val="21"/>
                <w:szCs w:val="21"/>
              </w:rPr>
              <w:t>serialNum</w:t>
            </w:r>
            <w:proofErr w:type="spellEnd"/>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equName</w:t>
            </w:r>
            <w:proofErr w:type="spellEnd"/>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reqNum</w:t>
            </w:r>
            <w:proofErr w:type="spellEnd"/>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AC0295">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AC0295">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proofErr w:type="spellStart"/>
            <w:r w:rsidRPr="002F04BA">
              <w:rPr>
                <w:rFonts w:ascii="仿宋" w:hAnsi="仿宋" w:cs="宋体"/>
                <w:b/>
                <w:bCs/>
                <w:color w:val="0000FF"/>
                <w:kern w:val="0"/>
                <w:sz w:val="21"/>
                <w:szCs w:val="21"/>
              </w:rPr>
              <w:t>claimPointList</w:t>
            </w:r>
            <w:proofErr w:type="spellEnd"/>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002F04BA" w:rsidRPr="002F04BA">
              <w:rPr>
                <w:rFonts w:ascii="仿宋" w:hAnsi="仿宋" w:cs="宋体"/>
                <w:kern w:val="0"/>
                <w:sz w:val="21"/>
                <w:szCs w:val="21"/>
              </w:rPr>
              <w:t>clauseCode</w:t>
            </w:r>
            <w:proofErr w:type="spellEnd"/>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clauseContent</w:t>
            </w:r>
            <w:proofErr w:type="spellEnd"/>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triggerCondition</w:t>
            </w:r>
            <w:proofErr w:type="spellEnd"/>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occurProb</w:t>
            </w:r>
            <w:proofErr w:type="spellEnd"/>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AC0295">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005A4FF0" w:rsidRPr="005A4FF0">
              <w:rPr>
                <w:rFonts w:ascii="仿宋" w:hAnsi="仿宋"/>
                <w:color w:val="0000FF"/>
                <w:sz w:val="21"/>
                <w:szCs w:val="21"/>
              </w:rPr>
              <w:t>enhanceEffectOtherMeasureList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operateTarget</w:t>
            </w:r>
            <w:proofErr w:type="spellEnd"/>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targetDescription</w:t>
            </w:r>
            <w:proofErr w:type="spellEnd"/>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existProblem</w:t>
            </w:r>
            <w:proofErr w:type="spellEnd"/>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005A4FF0" w:rsidRPr="005A4FF0">
              <w:rPr>
                <w:rFonts w:ascii="仿宋" w:hAnsi="仿宋"/>
                <w:sz w:val="21"/>
                <w:szCs w:val="21"/>
              </w:rPr>
              <w:t>dutyDept</w:t>
            </w:r>
            <w:proofErr w:type="spellEnd"/>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提前订购当地币可以采购的大宗材料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按XX人，XX个月考虑</w:t>
            </w:r>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一套轧石设备、拌合站2套、罐车3台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林泰格1500型+脱桶</w:t>
            </w:r>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轧石分包</w:t>
            </w:r>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1820"/>
        <w:gridCol w:w="631"/>
        <w:gridCol w:w="1115"/>
        <w:gridCol w:w="1115"/>
        <w:gridCol w:w="1600"/>
        <w:gridCol w:w="2015"/>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6C10CD8B" w:rsidR="00A04C68" w:rsidRDefault="00850CB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850CB0">
              <w:rPr>
                <w:rFonts w:ascii="仿宋" w:hAnsi="仿宋"/>
                <w:color w:val="0000FF"/>
                <w:sz w:val="21"/>
                <w:szCs w:val="21"/>
              </w:rPr>
              <w:t>mainTaxItemRateList</w:t>
            </w:r>
            <w:proofErr w:type="spellEnd"/>
            <w:r>
              <w:rPr>
                <w:rFonts w:ascii="仿宋" w:hAnsi="仿宋"/>
                <w:color w:val="0000FF"/>
                <w:sz w:val="21"/>
                <w:szCs w:val="21"/>
              </w:rPr>
              <w:t>}}</w:t>
            </w: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A0608B8" w:rsidR="00A04C68" w:rsidRPr="00850CB0" w:rsidRDefault="00850CB0">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proofErr w:type="spellStart"/>
            <w:r w:rsidRPr="00850CB0">
              <w:rPr>
                <w:rFonts w:ascii="仿宋" w:hAnsi="仿宋"/>
                <w:b w:val="0"/>
                <w:bCs w:val="0"/>
                <w:sz w:val="21"/>
                <w:szCs w:val="21"/>
              </w:rPr>
              <w:t>taxType</w:t>
            </w:r>
            <w:proofErr w:type="spellEnd"/>
            <w:r w:rsidRPr="00850CB0">
              <w:rPr>
                <w:rFonts w:ascii="仿宋" w:hAnsi="仿宋"/>
                <w:b w:val="0"/>
                <w:bCs w:val="0"/>
                <w:sz w:val="21"/>
                <w:szCs w:val="21"/>
              </w:rPr>
              <w:t>]</w:t>
            </w:r>
          </w:p>
        </w:tc>
        <w:tc>
          <w:tcPr>
            <w:tcW w:w="956" w:type="dxa"/>
            <w:shd w:val="clear" w:color="auto" w:fill="F2F2F2" w:themeFill="background1" w:themeFillShade="F2"/>
          </w:tcPr>
          <w:p w14:paraId="20991864" w14:textId="3E48665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w:t>
            </w:r>
          </w:p>
        </w:tc>
        <w:tc>
          <w:tcPr>
            <w:tcW w:w="956" w:type="dxa"/>
            <w:shd w:val="clear" w:color="auto" w:fill="F2F2F2" w:themeFill="background1" w:themeFillShade="F2"/>
          </w:tcPr>
          <w:p w14:paraId="2C49725F" w14:textId="69AABD5C"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taxRate</w:t>
            </w:r>
            <w:proofErr w:type="spellEnd"/>
            <w:r w:rsidRPr="00850CB0">
              <w:rPr>
                <w:rFonts w:ascii="仿宋" w:hAnsi="仿宋"/>
                <w:sz w:val="21"/>
                <w:szCs w:val="21"/>
              </w:rPr>
              <w:t>]</w:t>
            </w:r>
          </w:p>
        </w:tc>
        <w:tc>
          <w:tcPr>
            <w:tcW w:w="2076" w:type="dxa"/>
            <w:shd w:val="clear" w:color="auto" w:fill="F2F2F2" w:themeFill="background1" w:themeFillShade="F2"/>
          </w:tcPr>
          <w:p w14:paraId="18B56947" w14:textId="7D759D1B"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taxBase</w:t>
            </w:r>
            <w:proofErr w:type="spellEnd"/>
            <w:r w:rsidRPr="00850CB0">
              <w:rPr>
                <w:rFonts w:ascii="仿宋" w:hAnsi="仿宋"/>
                <w:sz w:val="21"/>
                <w:szCs w:val="21"/>
              </w:rPr>
              <w:t>]</w:t>
            </w:r>
          </w:p>
        </w:tc>
        <w:tc>
          <w:tcPr>
            <w:tcW w:w="1657" w:type="dxa"/>
            <w:shd w:val="clear" w:color="auto" w:fill="F2F2F2" w:themeFill="background1" w:themeFillShade="F2"/>
          </w:tcPr>
          <w:p w14:paraId="02947634" w14:textId="0D6BCB8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taxPayDeadline</w:t>
            </w:r>
            <w:proofErr w:type="spellEnd"/>
            <w:r w:rsidRPr="00850CB0">
              <w:rPr>
                <w:rFonts w:ascii="仿宋" w:hAnsi="仿宋"/>
                <w:sz w:val="21"/>
                <w:szCs w:val="21"/>
              </w:rPr>
              <w:t>]</w:t>
            </w:r>
          </w:p>
        </w:tc>
        <w:tc>
          <w:tcPr>
            <w:tcW w:w="1657" w:type="dxa"/>
            <w:shd w:val="clear" w:color="auto" w:fill="F2F2F2" w:themeFill="background1" w:themeFillShade="F2"/>
          </w:tcPr>
          <w:p w14:paraId="14875F37" w14:textId="568DE72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declarationProcedure</w:t>
            </w:r>
            <w:proofErr w:type="spellEnd"/>
            <w:r w:rsidRPr="00850CB0">
              <w:rPr>
                <w:rFonts w:ascii="仿宋" w:hAnsi="仿宋"/>
                <w:sz w:val="21"/>
                <w:szCs w:val="21"/>
              </w:rPr>
              <w:t>]</w:t>
            </w:r>
          </w:p>
        </w:tc>
      </w:tr>
    </w:tbl>
    <w:p w14:paraId="2019E4BF" w14:textId="77777777" w:rsidR="00A04C68" w:rsidRDefault="00000000">
      <w:pPr>
        <w:pStyle w:val="2"/>
        <w:spacing w:before="190"/>
        <w:rPr>
          <w:rFonts w:ascii="仿宋" w:hAnsi="仿宋"/>
          <w:color w:val="FF0000"/>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tbl>
      <w:tblPr>
        <w:tblStyle w:val="110"/>
        <w:tblW w:w="8359" w:type="dxa"/>
        <w:tblLook w:val="04A0" w:firstRow="1" w:lastRow="0" w:firstColumn="1" w:lastColumn="0" w:noHBand="0" w:noVBand="1"/>
      </w:tblPr>
      <w:tblGrid>
        <w:gridCol w:w="3285"/>
        <w:gridCol w:w="2616"/>
        <w:gridCol w:w="2458"/>
      </w:tblGrid>
      <w:tr w:rsidR="0007067E" w14:paraId="0001E055" w14:textId="77777777" w:rsidTr="0007067E">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2650" w:type="dxa"/>
          </w:tcPr>
          <w:p w14:paraId="0520F94B" w14:textId="0D42848B" w:rsidR="0007067E" w:rsidRDefault="0007067E" w:rsidP="0007067E">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07067E">
              <w:rPr>
                <w:rFonts w:ascii="仿宋" w:hAnsi="仿宋"/>
                <w:color w:val="0000FF"/>
                <w:sz w:val="21"/>
                <w:szCs w:val="21"/>
              </w:rPr>
              <w:t>localAccountingPolicyList</w:t>
            </w:r>
            <w:proofErr w:type="spellEnd"/>
            <w:r>
              <w:rPr>
                <w:rFonts w:ascii="仿宋" w:hAnsi="仿宋"/>
                <w:color w:val="0000FF"/>
                <w:sz w:val="21"/>
                <w:szCs w:val="21"/>
              </w:rPr>
              <w:t>}}</w:t>
            </w:r>
            <w:r>
              <w:rPr>
                <w:rFonts w:ascii="仿宋" w:hAnsi="仿宋" w:hint="eastAsia"/>
                <w:color w:val="0000FF"/>
                <w:sz w:val="21"/>
                <w:szCs w:val="21"/>
              </w:rPr>
              <w:t>序号</w:t>
            </w:r>
          </w:p>
        </w:tc>
        <w:tc>
          <w:tcPr>
            <w:tcW w:w="2732" w:type="dxa"/>
          </w:tcPr>
          <w:p w14:paraId="5D0861AD" w14:textId="392C460C"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会计政策</w:t>
            </w:r>
          </w:p>
        </w:tc>
        <w:tc>
          <w:tcPr>
            <w:tcW w:w="2977" w:type="dxa"/>
          </w:tcPr>
          <w:p w14:paraId="259802DD" w14:textId="17BA8920"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内容描述</w:t>
            </w:r>
          </w:p>
        </w:tc>
      </w:tr>
      <w:tr w:rsidR="0007067E" w14:paraId="3394D090" w14:textId="77777777" w:rsidTr="0007067E">
        <w:tc>
          <w:tcPr>
            <w:cnfStyle w:val="001000000000" w:firstRow="0" w:lastRow="0" w:firstColumn="1" w:lastColumn="0" w:oddVBand="0" w:evenVBand="0" w:oddHBand="0" w:evenHBand="0" w:firstRowFirstColumn="0" w:firstRowLastColumn="0" w:lastRowFirstColumn="0" w:lastRowLastColumn="0"/>
            <w:tcW w:w="2650" w:type="dxa"/>
            <w:shd w:val="clear" w:color="auto" w:fill="F2F2F2" w:themeFill="background1" w:themeFillShade="F2"/>
          </w:tcPr>
          <w:p w14:paraId="6307BEF8" w14:textId="7FBE000F" w:rsidR="0007067E" w:rsidRPr="00850CB0" w:rsidRDefault="0007067E" w:rsidP="007A15D5">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proofErr w:type="spellStart"/>
            <w:r w:rsidRPr="0007067E">
              <w:rPr>
                <w:rFonts w:ascii="仿宋" w:hAnsi="仿宋"/>
                <w:b w:val="0"/>
                <w:bCs w:val="0"/>
                <w:sz w:val="21"/>
                <w:szCs w:val="21"/>
              </w:rPr>
              <w:t>serialNum</w:t>
            </w:r>
            <w:proofErr w:type="spellEnd"/>
            <w:r w:rsidRPr="00850CB0">
              <w:rPr>
                <w:rFonts w:ascii="仿宋" w:hAnsi="仿宋"/>
                <w:b w:val="0"/>
                <w:bCs w:val="0"/>
                <w:sz w:val="21"/>
                <w:szCs w:val="21"/>
              </w:rPr>
              <w:t>]</w:t>
            </w:r>
          </w:p>
        </w:tc>
        <w:tc>
          <w:tcPr>
            <w:tcW w:w="2732" w:type="dxa"/>
            <w:shd w:val="clear" w:color="auto" w:fill="F2F2F2" w:themeFill="background1" w:themeFillShade="F2"/>
          </w:tcPr>
          <w:p w14:paraId="3B3622BC" w14:textId="3EBF176B"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07067E">
              <w:rPr>
                <w:rFonts w:ascii="仿宋" w:hAnsi="仿宋"/>
                <w:sz w:val="21"/>
                <w:szCs w:val="21"/>
              </w:rPr>
              <w:t>accountingPolicy</w:t>
            </w:r>
            <w:proofErr w:type="spellEnd"/>
            <w:r>
              <w:rPr>
                <w:rFonts w:ascii="仿宋" w:hAnsi="仿宋"/>
                <w:sz w:val="21"/>
                <w:szCs w:val="21"/>
              </w:rPr>
              <w:tab/>
            </w:r>
            <w:r w:rsidRPr="00850CB0">
              <w:rPr>
                <w:rFonts w:ascii="仿宋" w:hAnsi="仿宋"/>
                <w:sz w:val="21"/>
                <w:szCs w:val="21"/>
              </w:rPr>
              <w:t>]</w:t>
            </w:r>
          </w:p>
        </w:tc>
        <w:tc>
          <w:tcPr>
            <w:tcW w:w="2977" w:type="dxa"/>
            <w:shd w:val="clear" w:color="auto" w:fill="F2F2F2" w:themeFill="background1" w:themeFillShade="F2"/>
          </w:tcPr>
          <w:p w14:paraId="26DF6A8E" w14:textId="0BC5CFBC"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content</w:t>
            </w:r>
            <w:r w:rsidRPr="00850CB0">
              <w:rPr>
                <w:rFonts w:ascii="仿宋" w:hAnsi="仿宋"/>
                <w:sz w:val="21"/>
                <w:szCs w:val="21"/>
              </w:rPr>
              <w:t>]</w:t>
            </w:r>
          </w:p>
        </w:tc>
      </w:tr>
    </w:tbl>
    <w:p w14:paraId="5F7E2366" w14:textId="77777777" w:rsidR="0007067E" w:rsidRPr="0007067E" w:rsidRDefault="0007067E" w:rsidP="0007067E">
      <w:pPr>
        <w:ind w:firstLine="560"/>
        <w:rPr>
          <w:rFonts w:hint="eastAsia"/>
        </w:rPr>
      </w:pP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lastRenderedPageBreak/>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开户行性质</w:t>
            </w:r>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lastRenderedPageBreak/>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外账成本</w:t>
            </w:r>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外账成本</w:t>
            </w:r>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10.5.2</w:t>
      </w:r>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外账成本</w:t>
            </w:r>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外账预测利润为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外账收入</w:t>
            </w:r>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外账成本</w:t>
            </w:r>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筹划后外账利润</w:t>
            </w:r>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通过以上调整后，外账利润为</w:t>
      </w:r>
      <w:proofErr w:type="spellStart"/>
      <w:r>
        <w:rPr>
          <w:rFonts w:ascii="仿宋" w:hAnsi="仿宋"/>
          <w:szCs w:val="28"/>
        </w:rPr>
        <w:t>xxxx</w:t>
      </w:r>
      <w:proofErr w:type="spellEnd"/>
      <w:r>
        <w:rPr>
          <w:rFonts w:ascii="仿宋" w:hAnsi="仿宋" w:hint="eastAsia"/>
          <w:szCs w:val="28"/>
        </w:rPr>
        <w:t>万美元，根据企业所得税政策，可将该亏损结转到下一年度。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AC0295">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11.5.1、物设系统应用管理组织机构</w:t>
      </w:r>
    </w:p>
    <w:p w14:paraId="54C60B50"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11.5.2、物设系统AB角职责及分工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AC0295">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AC0295">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AC0295">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AC0295">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AC0295">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AC0295">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F73BE2" w14:textId="77777777" w:rsidR="00AC0295" w:rsidRDefault="00AC0295">
      <w:pPr>
        <w:spacing w:line="240" w:lineRule="auto"/>
        <w:ind w:firstLine="560"/>
      </w:pPr>
      <w:r>
        <w:separator/>
      </w:r>
    </w:p>
  </w:endnote>
  <w:endnote w:type="continuationSeparator" w:id="0">
    <w:p w14:paraId="3F75C36E" w14:textId="77777777" w:rsidR="00AC0295" w:rsidRDefault="00AC0295">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1B9A2" w14:textId="77777777" w:rsidR="00AC0295" w:rsidRDefault="00AC0295">
      <w:pPr>
        <w:ind w:firstLine="560"/>
      </w:pPr>
      <w:r>
        <w:separator/>
      </w:r>
    </w:p>
  </w:footnote>
  <w:footnote w:type="continuationSeparator" w:id="0">
    <w:p w14:paraId="6A8AB05C" w14:textId="77777777" w:rsidR="00AC0295" w:rsidRDefault="00AC0295">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067E"/>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0CB0"/>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0295"/>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87B"/>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873">
      <w:bodyDiv w:val="1"/>
      <w:marLeft w:val="0"/>
      <w:marRight w:val="0"/>
      <w:marTop w:val="0"/>
      <w:marBottom w:val="0"/>
      <w:divBdr>
        <w:top w:val="none" w:sz="0" w:space="0" w:color="auto"/>
        <w:left w:val="none" w:sz="0" w:space="0" w:color="auto"/>
        <w:bottom w:val="none" w:sz="0" w:space="0" w:color="auto"/>
        <w:right w:val="none" w:sz="0" w:space="0" w:color="auto"/>
      </w:divBdr>
      <w:divsChild>
        <w:div w:id="2053964380">
          <w:marLeft w:val="0"/>
          <w:marRight w:val="0"/>
          <w:marTop w:val="0"/>
          <w:marBottom w:val="0"/>
          <w:divBdr>
            <w:top w:val="none" w:sz="0" w:space="0" w:color="auto"/>
            <w:left w:val="none" w:sz="0" w:space="0" w:color="auto"/>
            <w:bottom w:val="none" w:sz="0" w:space="0" w:color="auto"/>
            <w:right w:val="none" w:sz="0" w:space="0" w:color="auto"/>
          </w:divBdr>
        </w:div>
      </w:divsChild>
    </w:div>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98795059">
      <w:bodyDiv w:val="1"/>
      <w:marLeft w:val="0"/>
      <w:marRight w:val="0"/>
      <w:marTop w:val="0"/>
      <w:marBottom w:val="0"/>
      <w:divBdr>
        <w:top w:val="none" w:sz="0" w:space="0" w:color="auto"/>
        <w:left w:val="none" w:sz="0" w:space="0" w:color="auto"/>
        <w:bottom w:val="none" w:sz="0" w:space="0" w:color="auto"/>
        <w:right w:val="none" w:sz="0" w:space="0" w:color="auto"/>
      </w:divBdr>
      <w:divsChild>
        <w:div w:id="1534684821">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11164930">
      <w:bodyDiv w:val="1"/>
      <w:marLeft w:val="0"/>
      <w:marRight w:val="0"/>
      <w:marTop w:val="0"/>
      <w:marBottom w:val="0"/>
      <w:divBdr>
        <w:top w:val="none" w:sz="0" w:space="0" w:color="auto"/>
        <w:left w:val="none" w:sz="0" w:space="0" w:color="auto"/>
        <w:bottom w:val="none" w:sz="0" w:space="0" w:color="auto"/>
        <w:right w:val="none" w:sz="0" w:space="0" w:color="auto"/>
      </w:divBdr>
      <w:divsChild>
        <w:div w:id="1919052815">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975598375">
      <w:bodyDiv w:val="1"/>
      <w:marLeft w:val="0"/>
      <w:marRight w:val="0"/>
      <w:marTop w:val="0"/>
      <w:marBottom w:val="0"/>
      <w:divBdr>
        <w:top w:val="none" w:sz="0" w:space="0" w:color="auto"/>
        <w:left w:val="none" w:sz="0" w:space="0" w:color="auto"/>
        <w:bottom w:val="none" w:sz="0" w:space="0" w:color="auto"/>
        <w:right w:val="none" w:sz="0" w:space="0" w:color="auto"/>
      </w:divBdr>
      <w:divsChild>
        <w:div w:id="179861020">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466000289">
      <w:bodyDiv w:val="1"/>
      <w:marLeft w:val="0"/>
      <w:marRight w:val="0"/>
      <w:marTop w:val="0"/>
      <w:marBottom w:val="0"/>
      <w:divBdr>
        <w:top w:val="none" w:sz="0" w:space="0" w:color="auto"/>
        <w:left w:val="none" w:sz="0" w:space="0" w:color="auto"/>
        <w:bottom w:val="none" w:sz="0" w:space="0" w:color="auto"/>
        <w:right w:val="none" w:sz="0" w:space="0" w:color="auto"/>
      </w:divBdr>
      <w:divsChild>
        <w:div w:id="1681858965">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612979931">
      <w:bodyDiv w:val="1"/>
      <w:marLeft w:val="0"/>
      <w:marRight w:val="0"/>
      <w:marTop w:val="0"/>
      <w:marBottom w:val="0"/>
      <w:divBdr>
        <w:top w:val="none" w:sz="0" w:space="0" w:color="auto"/>
        <w:left w:val="none" w:sz="0" w:space="0" w:color="auto"/>
        <w:bottom w:val="none" w:sz="0" w:space="0" w:color="auto"/>
        <w:right w:val="none" w:sz="0" w:space="0" w:color="auto"/>
      </w:divBdr>
      <w:divsChild>
        <w:div w:id="937099410">
          <w:marLeft w:val="0"/>
          <w:marRight w:val="0"/>
          <w:marTop w:val="0"/>
          <w:marBottom w:val="0"/>
          <w:divBdr>
            <w:top w:val="none" w:sz="0" w:space="0" w:color="auto"/>
            <w:left w:val="none" w:sz="0" w:space="0" w:color="auto"/>
            <w:bottom w:val="none" w:sz="0" w:space="0" w:color="auto"/>
            <w:right w:val="none" w:sz="0" w:space="0" w:color="auto"/>
          </w:divBdr>
        </w:div>
      </w:divsChild>
    </w:div>
    <w:div w:id="1664359265">
      <w:bodyDiv w:val="1"/>
      <w:marLeft w:val="0"/>
      <w:marRight w:val="0"/>
      <w:marTop w:val="0"/>
      <w:marBottom w:val="0"/>
      <w:divBdr>
        <w:top w:val="none" w:sz="0" w:space="0" w:color="auto"/>
        <w:left w:val="none" w:sz="0" w:space="0" w:color="auto"/>
        <w:bottom w:val="none" w:sz="0" w:space="0" w:color="auto"/>
        <w:right w:val="none" w:sz="0" w:space="0" w:color="auto"/>
      </w:divBdr>
      <w:divsChild>
        <w:div w:id="1834952809">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47846447">
      <w:bodyDiv w:val="1"/>
      <w:marLeft w:val="0"/>
      <w:marRight w:val="0"/>
      <w:marTop w:val="0"/>
      <w:marBottom w:val="0"/>
      <w:divBdr>
        <w:top w:val="none" w:sz="0" w:space="0" w:color="auto"/>
        <w:left w:val="none" w:sz="0" w:space="0" w:color="auto"/>
        <w:bottom w:val="none" w:sz="0" w:space="0" w:color="auto"/>
        <w:right w:val="none" w:sz="0" w:space="0" w:color="auto"/>
      </w:divBdr>
      <w:divsChild>
        <w:div w:id="211270335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01498070">
      <w:bodyDiv w:val="1"/>
      <w:marLeft w:val="0"/>
      <w:marRight w:val="0"/>
      <w:marTop w:val="0"/>
      <w:marBottom w:val="0"/>
      <w:divBdr>
        <w:top w:val="none" w:sz="0" w:space="0" w:color="auto"/>
        <w:left w:val="none" w:sz="0" w:space="0" w:color="auto"/>
        <w:bottom w:val="none" w:sz="0" w:space="0" w:color="auto"/>
        <w:right w:val="none" w:sz="0" w:space="0" w:color="auto"/>
      </w:divBdr>
      <w:divsChild>
        <w:div w:id="1752003452">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28823120">
      <w:bodyDiv w:val="1"/>
      <w:marLeft w:val="0"/>
      <w:marRight w:val="0"/>
      <w:marTop w:val="0"/>
      <w:marBottom w:val="0"/>
      <w:divBdr>
        <w:top w:val="none" w:sz="0" w:space="0" w:color="auto"/>
        <w:left w:val="none" w:sz="0" w:space="0" w:color="auto"/>
        <w:bottom w:val="none" w:sz="0" w:space="0" w:color="auto"/>
        <w:right w:val="none" w:sz="0" w:space="0" w:color="auto"/>
      </w:divBdr>
      <w:divsChild>
        <w:div w:id="38172450">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100633625">
      <w:bodyDiv w:val="1"/>
      <w:marLeft w:val="0"/>
      <w:marRight w:val="0"/>
      <w:marTop w:val="0"/>
      <w:marBottom w:val="0"/>
      <w:divBdr>
        <w:top w:val="none" w:sz="0" w:space="0" w:color="auto"/>
        <w:left w:val="none" w:sz="0" w:space="0" w:color="auto"/>
        <w:bottom w:val="none" w:sz="0" w:space="0" w:color="auto"/>
        <w:right w:val="none" w:sz="0" w:space="0" w:color="auto"/>
      </w:divBdr>
      <w:divsChild>
        <w:div w:id="499581468">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78</Pages>
  <Words>4978</Words>
  <Characters>28379</Characters>
  <Application>Microsoft Office Word</Application>
  <DocSecurity>0</DocSecurity>
  <Lines>236</Lines>
  <Paragraphs>66</Paragraphs>
  <ScaleCrop>false</ScaleCrop>
  <Company/>
  <LinksUpToDate>false</LinksUpToDate>
  <CharactersWithSpaces>33291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93</cp:revision>
  <dcterms:created xsi:type="dcterms:W3CDTF">2023-11-23T06:13:00Z</dcterms:created>
  <dcterms:modified xsi:type="dcterms:W3CDTF">2024-01-16T05:46:00Z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