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前期策划分阶段编制要点如下：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7450" w:displacedByCustomXml="next"/>
    <w:bookmarkStart w:id="27" w:name="_Toc589" w:displacedByCustomXml="next"/>
    <w:bookmarkStart w:id="28" w:name="_Toc20928" w:displacedByCustomXml="next"/>
    <w:bookmarkStart w:id="29" w:name="_Toc23528" w:displacedByCustomXml="next"/>
    <w:bookmarkStart w:id="30" w:name="_Toc17764" w:displacedByCustomXml="next"/>
    <w:bookmarkStart w:id="31" w:name="_Toc1422"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proofErr w:type="spellStart"/>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roofErr w:type="spellEnd"/>
            <w:r w:rsidRPr="00260F6D">
              <w:rPr>
                <w:rFonts w:ascii="仿宋" w:eastAsia="仿宋" w:hAnsi="仿宋"/>
                <w:b w:val="0"/>
                <w:bCs w:val="0"/>
                <w:color w:val="0000FF"/>
                <w:szCs w:val="21"/>
              </w:rPr>
              <w:t>}}</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contractExchangeRate</w:t>
            </w:r>
            <w:proofErr w:type="spellEnd"/>
            <w:r w:rsidRPr="00260F6D">
              <w:rPr>
                <w:rFonts w:ascii="仿宋" w:hAnsi="仿宋"/>
                <w:color w:val="0000FF"/>
                <w:sz w:val="21"/>
                <w:szCs w:val="21"/>
              </w:rPr>
              <w:t>}}</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supervisorUnit</w:t>
            </w:r>
            <w:proofErr w:type="spellEnd"/>
            <w:r w:rsidRPr="00260F6D">
              <w:rPr>
                <w:rFonts w:ascii="仿宋" w:hAnsi="仿宋"/>
                <w:color w:val="0000FF"/>
                <w:sz w:val="21"/>
                <w:szCs w:val="21"/>
              </w:rPr>
              <w: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capitalSource</w:t>
            </w:r>
            <w:proofErr w:type="spellEnd"/>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contractType</w:t>
            </w:r>
            <w:proofErr w:type="spellEnd"/>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contractSchedule</w:t>
            </w:r>
            <w:proofErr w:type="spellEnd"/>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proofErr w:type="spellStart"/>
            <w:r w:rsidR="000D69AF" w:rsidRPr="000D69AF">
              <w:rPr>
                <w:rFonts w:ascii="仿宋" w:eastAsia="仿宋" w:hAnsi="仿宋"/>
                <w:color w:val="0000FF"/>
                <w:szCs w:val="21"/>
              </w:rPr>
              <w:t>startCompletionDate</w:t>
            </w:r>
            <w:proofErr w:type="spellEnd"/>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defectsLiabilityPeriod</w:t>
            </w:r>
            <w:proofErr w:type="spellEnd"/>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executiveSpecificationStandard</w:t>
            </w:r>
            <w:proofErr w:type="spellEnd"/>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contractLang</w:t>
            </w:r>
            <w:proofErr w:type="spellEnd"/>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paymentCurrency</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priceAdjustmentMode</w:t>
            </w:r>
            <w:proofErr w:type="spellEnd"/>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prepaymentRatio</w:t>
            </w:r>
            <w:proofErr w:type="spellEnd"/>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performanceSecurityRatio</w:t>
            </w:r>
            <w:proofErr w:type="spellEnd"/>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retentionMoneyRatio</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qualityGuaranteeDepositRatio</w:t>
            </w:r>
            <w:proofErr w:type="spellEnd"/>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w:t>
            </w:r>
            <w:proofErr w:type="spellStart"/>
            <w:r w:rsidRPr="008B598C">
              <w:rPr>
                <w:rFonts w:ascii="仿宋" w:hAnsi="仿宋" w:cs="Arial"/>
                <w:b w:val="0"/>
                <w:bCs w:val="0"/>
                <w:color w:val="000000" w:themeColor="text1"/>
                <w:kern w:val="0"/>
                <w:sz w:val="21"/>
                <w:szCs w:val="21"/>
              </w:rPr>
              <w:t>engineeringAmountList</w:t>
            </w:r>
            <w:proofErr w:type="spellEnd"/>
            <w:r w:rsidRPr="008B598C">
              <w:rPr>
                <w:rFonts w:ascii="仿宋" w:hAnsi="仿宋" w:cs="Arial"/>
                <w:b w:val="0"/>
                <w:bCs w:val="0"/>
                <w:color w:val="000000" w:themeColor="text1"/>
                <w:kern w:val="0"/>
                <w:sz w:val="21"/>
                <w:szCs w:val="21"/>
              </w:rPr>
              <w: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w:t>
            </w:r>
            <w:proofErr w:type="spellStart"/>
            <w:r w:rsidRPr="00A040BD">
              <w:rPr>
                <w:rFonts w:ascii="仿宋" w:hAnsi="仿宋" w:cs="Arial"/>
                <w:b w:val="0"/>
                <w:bCs w:val="0"/>
                <w:color w:val="000000" w:themeColor="text1"/>
                <w:kern w:val="0"/>
                <w:sz w:val="21"/>
                <w:szCs w:val="21"/>
              </w:rPr>
              <w:t>serialNumber</w:t>
            </w:r>
            <w:proofErr w:type="spellEnd"/>
            <w:r w:rsidRPr="00A040BD">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proofErr w:type="spellStart"/>
            <w:r w:rsidRPr="00B30499">
              <w:rPr>
                <w:rFonts w:ascii="仿宋" w:hAnsi="仿宋" w:cs="Arial"/>
                <w:color w:val="000000" w:themeColor="text1"/>
                <w:kern w:val="0"/>
                <w:sz w:val="21"/>
                <w:szCs w:val="21"/>
              </w:rPr>
              <w:t>engineeringProject</w:t>
            </w:r>
            <w:proofErr w:type="spellEnd"/>
            <w:r w:rsidRPr="00B30499">
              <w:rPr>
                <w:rFonts w:ascii="仿宋" w:hAnsi="仿宋" w:cs="Arial"/>
                <w:color w:val="000000" w:themeColor="text1"/>
                <w:kern w:val="0"/>
                <w:sz w:val="21"/>
                <w:szCs w:val="21"/>
              </w:rPr>
              <w: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w:t>
            </w:r>
            <w:proofErr w:type="spellStart"/>
            <w:r w:rsidRPr="008B598C">
              <w:rPr>
                <w:rFonts w:ascii="仿宋" w:hAnsi="仿宋" w:cs="Arial"/>
                <w:b w:val="0"/>
                <w:bCs w:val="0"/>
                <w:color w:val="000000" w:themeColor="text1"/>
                <w:sz w:val="21"/>
                <w:szCs w:val="21"/>
              </w:rPr>
              <w:t>materialsAmountList</w:t>
            </w:r>
            <w:proofErr w:type="spellEnd"/>
            <w:r w:rsidRPr="008B598C">
              <w:rPr>
                <w:rFonts w:ascii="仿宋" w:hAnsi="仿宋" w:cs="Arial"/>
                <w:b w:val="0"/>
                <w:bCs w:val="0"/>
                <w:color w:val="000000" w:themeColor="text1"/>
                <w:sz w:val="21"/>
                <w:szCs w:val="21"/>
              </w:rPr>
              <w: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proofErr w:type="spellStart"/>
            <w:r w:rsidR="006439AD" w:rsidRPr="00124292">
              <w:rPr>
                <w:rFonts w:ascii="仿宋" w:hAnsi="仿宋" w:cs="Arial"/>
                <w:b w:val="0"/>
                <w:bCs w:val="0"/>
                <w:color w:val="000000" w:themeColor="text1"/>
                <w:sz w:val="21"/>
                <w:szCs w:val="21"/>
              </w:rPr>
              <w:t>SerialNumber</w:t>
            </w:r>
            <w:proofErr w:type="spellEnd"/>
            <w:r w:rsidR="006439AD" w:rsidRPr="00124292">
              <w:rPr>
                <w:rFonts w:ascii="仿宋" w:hAnsi="仿宋" w:cs="Arial"/>
                <w:b w:val="0"/>
                <w:bCs w:val="0"/>
                <w:color w:val="000000" w:themeColor="text1"/>
                <w:sz w:val="21"/>
                <w:szCs w:val="21"/>
              </w:rPr>
              <w:t>]</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sidRPr="006439AD">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高填/深挖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proofErr w:type="spellStart"/>
            <w:r w:rsidRPr="00B651D1">
              <w:rPr>
                <w:rFonts w:ascii="仿宋" w:hAnsi="仿宋" w:cs="Arial"/>
                <w:color w:val="000000" w:themeColor="text1"/>
                <w:kern w:val="0"/>
                <w:sz w:val="21"/>
                <w:szCs w:val="21"/>
              </w:rPr>
              <w:t>terrainLandformsList</w:t>
            </w:r>
            <w:proofErr w:type="spellEnd"/>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94582E" w:rsidRPr="0094582E">
              <w:rPr>
                <w:rFonts w:ascii="仿宋" w:hAnsi="仿宋" w:cs="Arial"/>
                <w:color w:val="000000" w:themeColor="text1"/>
                <w:sz w:val="21"/>
                <w:szCs w:val="21"/>
              </w:rPr>
              <w:t>maxAltitude</w:t>
            </w:r>
            <w:proofErr w:type="spellEnd"/>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minAltitude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heightDiff</w:t>
            </w:r>
            <w:proofErr w:type="spellEnd"/>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positionOne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slopeRate</w:t>
            </w:r>
            <w:proofErr w:type="spellEnd"/>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positionTwo</w:t>
            </w:r>
            <w:proofErr w:type="spellEnd"/>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maxFillingHeight</w:t>
            </w:r>
            <w:proofErr w:type="spellEnd"/>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064FEA">
        <w:rPr>
          <w:rFonts w:ascii="仿宋" w:hAnsi="仿宋"/>
          <w:color w:val="0000FF"/>
        </w:rPr>
        <w:t>terrainLandformsList4Picture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sidR="00AB15F9" w:rsidRPr="00AB15F9">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proofErr w:type="spellStart"/>
            <w:r w:rsidRPr="00002E41">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653C97">
        <w:rPr>
          <w:rFonts w:ascii="仿宋" w:hAnsi="仿宋"/>
          <w:color w:val="0000FF"/>
        </w:rPr>
        <w:t>mainTypicalGeologySurveyList4Picture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proofErr w:type="spellStart"/>
            <w:r w:rsidRPr="00A456D8">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sidRPr="00A456D8">
              <w:rPr>
                <w:color w:val="000000" w:themeColor="text1"/>
                <w:sz w:val="21"/>
                <w:szCs w:val="21"/>
              </w:rPr>
              <w:t>planHandleMethod</w:t>
            </w:r>
            <w:proofErr w:type="spellEnd"/>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A456D8">
        <w:rPr>
          <w:rFonts w:ascii="仿宋" w:hAnsi="仿宋"/>
          <w:color w:val="0000FF"/>
        </w:rPr>
        <w:t>badGeologySurveyList4Picture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C07737">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701E1F">
        <w:rPr>
          <w:rFonts w:ascii="仿宋" w:hAnsi="仿宋"/>
          <w:color w:val="0000FF"/>
        </w:rPr>
        <w:t>mainStructureHydrologyList4Picture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378389D1" w14:textId="77777777" w:rsidR="00B556CB" w:rsidRDefault="00000000">
      <w:pPr>
        <w:ind w:firstLine="560"/>
        <w:rPr>
          <w:i/>
          <w:iCs/>
          <w:color w:val="000000" w:themeColor="text1"/>
        </w:rPr>
      </w:pPr>
      <w:r>
        <w:rPr>
          <w:rFonts w:hint="eastAsia"/>
          <w:i/>
          <w:iCs/>
          <w:color w:val="000000" w:themeColor="text1"/>
        </w:rPr>
        <w:t>联系当地气象部门调查气温、降雨量等情况。</w:t>
      </w:r>
    </w:p>
    <w:p w14:paraId="4C4AE11B"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lastRenderedPageBreak/>
        <w:drawing>
          <wp:inline distT="0" distB="0" distL="114300" distR="114300" wp14:anchorId="381A9135" wp14:editId="6E418008">
            <wp:extent cx="4907280" cy="1957705"/>
            <wp:effectExtent l="0" t="0" r="0" b="8255"/>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5"/>
                    <a:stretch>
                      <a:fillRect/>
                    </a:stretch>
                  </pic:blipFill>
                  <pic:spPr>
                    <a:xfrm>
                      <a:off x="0" y="0"/>
                      <a:ext cx="4907280" cy="1957705"/>
                    </a:xfrm>
                    <a:prstGeom prst="rect">
                      <a:avLst/>
                    </a:prstGeom>
                    <a:noFill/>
                    <a:ln w="9525">
                      <a:noFill/>
                    </a:ln>
                  </pic:spPr>
                </pic:pic>
              </a:graphicData>
            </a:graphic>
          </wp:inline>
        </w:drawing>
      </w:r>
    </w:p>
    <w:p w14:paraId="6FAA9BE7" w14:textId="77777777" w:rsidR="00B556CB" w:rsidRDefault="00000000">
      <w:pPr>
        <w:ind w:firstLine="480"/>
        <w:jc w:val="center"/>
        <w:rPr>
          <w:i/>
          <w:iCs/>
        </w:rPr>
      </w:pPr>
      <w:r>
        <w:rPr>
          <w:rFonts w:ascii="宋体" w:hAnsi="宋体" w:cs="宋体" w:hint="eastAsia"/>
          <w:sz w:val="24"/>
          <w:szCs w:val="24"/>
        </w:rPr>
        <w:t>多年月平均最低、最高气温</w:t>
      </w:r>
    </w:p>
    <w:p w14:paraId="7F2BD79D"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drawing>
          <wp:inline distT="0" distB="0" distL="114300" distR="114300" wp14:anchorId="61D9B4AE" wp14:editId="77F56820">
            <wp:extent cx="4871720" cy="2539365"/>
            <wp:effectExtent l="0" t="0" r="5080" b="5715"/>
            <wp:docPr id="1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IMG_256"/>
                    <pic:cNvPicPr>
                      <a:picLocks noChangeAspect="1"/>
                    </pic:cNvPicPr>
                  </pic:nvPicPr>
                  <pic:blipFill>
                    <a:blip r:embed="rId26"/>
                    <a:stretch>
                      <a:fillRect/>
                    </a:stretch>
                  </pic:blipFill>
                  <pic:spPr>
                    <a:xfrm>
                      <a:off x="0" y="0"/>
                      <a:ext cx="4871720" cy="2539365"/>
                    </a:xfrm>
                    <a:prstGeom prst="rect">
                      <a:avLst/>
                    </a:prstGeom>
                    <a:noFill/>
                    <a:ln w="9525">
                      <a:noFill/>
                    </a:ln>
                  </pic:spPr>
                </pic:pic>
              </a:graphicData>
            </a:graphic>
          </wp:inline>
        </w:drawing>
      </w:r>
    </w:p>
    <w:p w14:paraId="4FFB950D" w14:textId="77777777" w:rsidR="00B556CB" w:rsidRDefault="00000000">
      <w:pPr>
        <w:ind w:firstLine="480"/>
        <w:jc w:val="center"/>
        <w:rPr>
          <w:rFonts w:ascii="宋体" w:hAnsi="宋体" w:cs="宋体"/>
          <w:sz w:val="24"/>
          <w:szCs w:val="24"/>
        </w:rPr>
      </w:pPr>
      <w:r>
        <w:rPr>
          <w:rFonts w:ascii="宋体" w:hAnsi="宋体" w:cs="宋体" w:hint="eastAsia"/>
          <w:sz w:val="24"/>
          <w:szCs w:val="24"/>
        </w:rPr>
        <w:t>多年月平均降雨量</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proofErr w:type="spellStart"/>
            <w:r w:rsidRPr="005940E4">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Pr="005940E4">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dryTemperature</w:t>
            </w:r>
            <w:proofErr w:type="spellEnd"/>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dryMonthAverageRainfall</w:t>
            </w:r>
            <w:proofErr w:type="spellEnd"/>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rainyCycle</w:t>
            </w:r>
            <w:proofErr w:type="spellEnd"/>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rainyTemperature</w:t>
            </w:r>
            <w:proofErr w:type="spellEnd"/>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rainyMonthAverageRainfall</w:t>
            </w:r>
            <w:proofErr w:type="spellEnd"/>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8959DF">
              <w:rPr>
                <w:rFonts w:ascii="仿宋" w:hAnsi="仿宋" w:cs="宋体"/>
                <w:color w:val="0000FF"/>
                <w:kern w:val="0"/>
                <w:sz w:val="21"/>
                <w:szCs w:val="21"/>
              </w:rPr>
              <w:t>basic</w:t>
            </w:r>
            <w:r w:rsidRPr="008959DF">
              <w:rPr>
                <w:rFonts w:ascii="仿宋" w:hAnsi="仿宋" w:cs="宋体"/>
                <w:color w:val="0000FF"/>
                <w:kern w:val="0"/>
                <w:sz w:val="21"/>
                <w:szCs w:val="21"/>
              </w:rPr>
              <w:lastRenderedPageBreak/>
              <w:t>FacilitiesConditionsList</w:t>
            </w:r>
            <w:proofErr w:type="spellEnd"/>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8959DF">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proofErr w:type="spellStart"/>
            <w:r w:rsidRPr="00AA3C16">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AA3C16">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BA7C05">
        <w:rPr>
          <w:rFonts w:ascii="仿宋" w:hAnsi="仿宋"/>
          <w:color w:val="0000FF"/>
        </w:rPr>
        <w:t>constructionInterferenceList4Picture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CC758F">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CC758F">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lastRenderedPageBreak/>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3B8AA3A3" w:rsidR="00B556CB" w:rsidRDefault="004D17BB">
      <w:pPr>
        <w:ind w:firstLine="560"/>
        <w:rPr>
          <w:rFonts w:ascii="仿宋" w:hAnsi="仿宋"/>
          <w:bCs/>
        </w:rPr>
      </w:pPr>
      <w:r>
        <w:rPr>
          <w:rFonts w:ascii="仿宋" w:hAnsi="仿宋" w:hint="eastAsia"/>
          <w:bCs/>
        </w:rPr>
        <w:t>{{</w:t>
      </w:r>
      <w:proofErr w:type="spellStart"/>
      <w:r w:rsidRPr="00055A81">
        <w:rPr>
          <w:rFonts w:ascii="仿宋" w:hAnsi="仿宋"/>
          <w:bCs/>
        </w:rPr>
        <w:t>policyKeyPointsExplanation</w:t>
      </w:r>
      <w:proofErr w:type="spellEnd"/>
      <w:r>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55A5643" w:rsidR="00B556CB" w:rsidRDefault="004D17BB">
      <w:pPr>
        <w:ind w:firstLine="560"/>
        <w:rPr>
          <w:rFonts w:ascii="仿宋" w:hAnsi="仿宋"/>
        </w:rPr>
      </w:pPr>
      <w:r>
        <w:rPr>
          <w:rFonts w:ascii="仿宋" w:hAnsi="仿宋" w:hint="eastAsia"/>
        </w:rPr>
        <w:t>{{</w:t>
      </w:r>
      <w:proofErr w:type="spellStart"/>
      <w:r w:rsidRPr="00055A81">
        <w:rPr>
          <w:rFonts w:ascii="仿宋" w:hAnsi="仿宋"/>
        </w:rPr>
        <w:t>socialHumanisticExplanation</w:t>
      </w:r>
      <w:proofErr w:type="spellEnd"/>
      <w:r>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proofErr w:type="spellStart"/>
            <w:r w:rsidRPr="00BD67AE">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sidRPr="00BD67AE">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responsiblePerson</w:t>
            </w:r>
            <w:proofErr w:type="spellEnd"/>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570" w:type="pct"/>
        <w:tblLayout w:type="fixed"/>
        <w:tblLook w:val="04A0" w:firstRow="1" w:lastRow="0" w:firstColumn="1" w:lastColumn="0" w:noHBand="0" w:noVBand="1"/>
      </w:tblPr>
      <w:tblGrid>
        <w:gridCol w:w="822"/>
        <w:gridCol w:w="4707"/>
        <w:gridCol w:w="1436"/>
        <w:gridCol w:w="2277"/>
      </w:tblGrid>
      <w:tr w:rsidR="00B556CB" w14:paraId="31F4CE26"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444" w:type="pct"/>
            <w:noWrap/>
          </w:tcPr>
          <w:p w14:paraId="41CE20F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阶段</w:t>
            </w:r>
          </w:p>
        </w:tc>
        <w:tc>
          <w:tcPr>
            <w:tcW w:w="2545" w:type="pct"/>
            <w:noWrap/>
          </w:tcPr>
          <w:p w14:paraId="1BD4A4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移交资料名称</w:t>
            </w:r>
          </w:p>
        </w:tc>
        <w:tc>
          <w:tcPr>
            <w:tcW w:w="777" w:type="pct"/>
            <w:noWrap/>
          </w:tcPr>
          <w:p w14:paraId="47BFBE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232" w:type="pct"/>
            <w:noWrap/>
          </w:tcPr>
          <w:p w14:paraId="21F43DD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B556CB" w14:paraId="1325C2E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shd w:val="clear" w:color="auto" w:fill="F2F2F2" w:themeFill="background1" w:themeFillShade="F2"/>
            <w:noWrap/>
          </w:tcPr>
          <w:p w14:paraId="1795635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招标文件</w:t>
            </w:r>
          </w:p>
        </w:tc>
        <w:tc>
          <w:tcPr>
            <w:tcW w:w="2545" w:type="pct"/>
            <w:shd w:val="clear" w:color="auto" w:fill="F2F2F2" w:themeFill="background1" w:themeFillShade="F2"/>
            <w:noWrap/>
          </w:tcPr>
          <w:p w14:paraId="5911E5A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招标文件</w:t>
            </w:r>
          </w:p>
        </w:tc>
        <w:tc>
          <w:tcPr>
            <w:tcW w:w="777" w:type="pct"/>
            <w:shd w:val="clear" w:color="auto" w:fill="F2F2F2" w:themeFill="background1" w:themeFillShade="F2"/>
            <w:noWrap/>
          </w:tcPr>
          <w:p w14:paraId="1EA38B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shd w:val="clear" w:color="auto" w:fill="F2F2F2" w:themeFill="background1" w:themeFillShade="F2"/>
            <w:noWrap/>
          </w:tcPr>
          <w:p w14:paraId="033B40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C23876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AB289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1E55FBE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招标图纸、初步设计图纸、地勘报告</w:t>
            </w:r>
          </w:p>
        </w:tc>
        <w:tc>
          <w:tcPr>
            <w:tcW w:w="777" w:type="pct"/>
            <w:noWrap/>
          </w:tcPr>
          <w:p w14:paraId="63AE1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noWrap/>
          </w:tcPr>
          <w:p w14:paraId="298706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1D9C76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A0F3BF0"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57B29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现场考察报告（业主组织）</w:t>
            </w:r>
          </w:p>
        </w:tc>
        <w:tc>
          <w:tcPr>
            <w:tcW w:w="777" w:type="pct"/>
            <w:shd w:val="clear" w:color="auto" w:fill="F2F2F2" w:themeFill="background1" w:themeFillShade="F2"/>
            <w:noWrap/>
          </w:tcPr>
          <w:p w14:paraId="10FE64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否</w:t>
            </w:r>
          </w:p>
        </w:tc>
        <w:tc>
          <w:tcPr>
            <w:tcW w:w="1232" w:type="pct"/>
            <w:shd w:val="clear" w:color="auto" w:fill="F2F2F2" w:themeFill="background1" w:themeFillShade="F2"/>
            <w:noWrap/>
          </w:tcPr>
          <w:p w14:paraId="0A6723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153F6E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0AC2F2B7"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过程及投标资料</w:t>
            </w:r>
          </w:p>
        </w:tc>
        <w:tc>
          <w:tcPr>
            <w:tcW w:w="2545" w:type="pct"/>
            <w:noWrap/>
          </w:tcPr>
          <w:p w14:paraId="73E610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立项材料</w:t>
            </w:r>
          </w:p>
        </w:tc>
        <w:tc>
          <w:tcPr>
            <w:tcW w:w="777" w:type="pct"/>
            <w:noWrap/>
          </w:tcPr>
          <w:p w14:paraId="5C12E2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B853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DF1981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339DB6"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03625E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现场考察报告（自己考察）</w:t>
            </w:r>
          </w:p>
        </w:tc>
        <w:tc>
          <w:tcPr>
            <w:tcW w:w="777" w:type="pct"/>
            <w:shd w:val="clear" w:color="auto" w:fill="F2F2F2" w:themeFill="background1" w:themeFillShade="F2"/>
            <w:noWrap/>
          </w:tcPr>
          <w:p w14:paraId="285835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5B1BA0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3F570C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863D39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8B914A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2F5A51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70272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F144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9F50CD1"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8F965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议标资料</w:t>
            </w:r>
          </w:p>
        </w:tc>
        <w:tc>
          <w:tcPr>
            <w:tcW w:w="777" w:type="pct"/>
            <w:shd w:val="clear" w:color="auto" w:fill="F2F2F2" w:themeFill="background1" w:themeFillShade="F2"/>
            <w:noWrap/>
          </w:tcPr>
          <w:p w14:paraId="52AA379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724C0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03D018"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DE7553D"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EBDD6A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标前谈判记录、会议纪要</w:t>
            </w:r>
          </w:p>
        </w:tc>
        <w:tc>
          <w:tcPr>
            <w:tcW w:w="777" w:type="pct"/>
            <w:noWrap/>
          </w:tcPr>
          <w:p w14:paraId="13E1C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703BA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E545FD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E52FBB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1090656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标前的往来信件、资料或信息</w:t>
            </w:r>
          </w:p>
        </w:tc>
        <w:tc>
          <w:tcPr>
            <w:tcW w:w="777" w:type="pct"/>
            <w:shd w:val="clear" w:color="auto" w:fill="F2F2F2" w:themeFill="background1" w:themeFillShade="F2"/>
            <w:noWrap/>
          </w:tcPr>
          <w:p w14:paraId="0E8E7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B887D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56ECD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55EE8EE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BED2A2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noWrap/>
          </w:tcPr>
          <w:p w14:paraId="14770C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1958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9B650C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6C470EF"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92D37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投标报价清单及单价分析，投标报价说明/报告</w:t>
            </w:r>
          </w:p>
        </w:tc>
        <w:tc>
          <w:tcPr>
            <w:tcW w:w="777" w:type="pct"/>
            <w:shd w:val="clear" w:color="auto" w:fill="F2F2F2" w:themeFill="background1" w:themeFillShade="F2"/>
            <w:noWrap/>
          </w:tcPr>
          <w:p w14:paraId="16A97A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ED62E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7B6BC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6F4BB"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7279A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关于投标报价策略的说明</w:t>
            </w:r>
          </w:p>
        </w:tc>
        <w:tc>
          <w:tcPr>
            <w:tcW w:w="777" w:type="pct"/>
            <w:noWrap/>
          </w:tcPr>
          <w:p w14:paraId="2560E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27BF0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9C76A4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785B4D85"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61B9C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（代理、设计等）委托咨询合同</w:t>
            </w:r>
          </w:p>
        </w:tc>
        <w:tc>
          <w:tcPr>
            <w:tcW w:w="777" w:type="pct"/>
            <w:shd w:val="clear" w:color="auto" w:fill="F2F2F2" w:themeFill="background1" w:themeFillShade="F2"/>
            <w:noWrap/>
          </w:tcPr>
          <w:p w14:paraId="3041F5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D7B2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4EA54A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4AD5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7FBB89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分包询价</w:t>
            </w:r>
          </w:p>
        </w:tc>
        <w:tc>
          <w:tcPr>
            <w:tcW w:w="777" w:type="pct"/>
            <w:noWrap/>
          </w:tcPr>
          <w:p w14:paraId="5897B1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4E72CB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76714E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4CBF0899"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57B9C5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技术方案</w:t>
            </w:r>
          </w:p>
        </w:tc>
        <w:tc>
          <w:tcPr>
            <w:tcW w:w="777" w:type="pct"/>
            <w:shd w:val="clear" w:color="auto" w:fill="F2F2F2" w:themeFill="background1" w:themeFillShade="F2"/>
            <w:noWrap/>
          </w:tcPr>
          <w:p w14:paraId="0CE14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A66DE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27D14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89AD676"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17224B3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投标策划表</w:t>
            </w:r>
          </w:p>
        </w:tc>
        <w:tc>
          <w:tcPr>
            <w:tcW w:w="777" w:type="pct"/>
            <w:noWrap/>
          </w:tcPr>
          <w:p w14:paraId="19ABD7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07D8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BF7B00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49555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00204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战略合作/标前协议/JV协议</w:t>
            </w:r>
          </w:p>
        </w:tc>
        <w:tc>
          <w:tcPr>
            <w:tcW w:w="777" w:type="pct"/>
            <w:shd w:val="clear" w:color="auto" w:fill="F2F2F2" w:themeFill="background1" w:themeFillShade="F2"/>
            <w:noWrap/>
          </w:tcPr>
          <w:p w14:paraId="188509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42BE5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FD08B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0827A979"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749D46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物价指数来源</w:t>
            </w:r>
          </w:p>
        </w:tc>
        <w:tc>
          <w:tcPr>
            <w:tcW w:w="777" w:type="pct"/>
            <w:noWrap/>
          </w:tcPr>
          <w:p w14:paraId="50AC10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411CD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0C3D7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B43375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4CAF7BB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其他影响到项目实施应交底的事项</w:t>
            </w:r>
          </w:p>
        </w:tc>
        <w:tc>
          <w:tcPr>
            <w:tcW w:w="777" w:type="pct"/>
            <w:shd w:val="clear" w:color="auto" w:fill="F2F2F2" w:themeFill="background1" w:themeFillShade="F2"/>
            <w:noWrap/>
          </w:tcPr>
          <w:p w14:paraId="032A1D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1BF96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2E0ED8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269DBA4A"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合同文件</w:t>
            </w:r>
          </w:p>
        </w:tc>
        <w:tc>
          <w:tcPr>
            <w:tcW w:w="2545" w:type="pct"/>
            <w:noWrap/>
          </w:tcPr>
          <w:p w14:paraId="0C007B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商务合同</w:t>
            </w:r>
          </w:p>
        </w:tc>
        <w:tc>
          <w:tcPr>
            <w:tcW w:w="777" w:type="pct"/>
            <w:noWrap/>
          </w:tcPr>
          <w:p w14:paraId="098CF1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F16A5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67D7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A05DC04"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DD65C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业主需求</w:t>
            </w:r>
          </w:p>
        </w:tc>
        <w:tc>
          <w:tcPr>
            <w:tcW w:w="777" w:type="pct"/>
            <w:shd w:val="clear" w:color="auto" w:fill="F2F2F2" w:themeFill="background1" w:themeFillShade="F2"/>
            <w:noWrap/>
          </w:tcPr>
          <w:p w14:paraId="639CB7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E2DC8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1762CF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3CCC9C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42668A4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合同谈判会议纪要</w:t>
            </w:r>
          </w:p>
        </w:tc>
        <w:tc>
          <w:tcPr>
            <w:tcW w:w="777" w:type="pct"/>
            <w:noWrap/>
          </w:tcPr>
          <w:p w14:paraId="72D380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EB71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85FE1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A784A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0E99BA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shd w:val="clear" w:color="auto" w:fill="F2F2F2" w:themeFill="background1" w:themeFillShade="F2"/>
            <w:noWrap/>
          </w:tcPr>
          <w:p w14:paraId="3A8A8F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0BED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D599B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671033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895D09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067008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30C6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FD66C0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51AE5BCE"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2904C86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合同谈判记录、会议纪要</w:t>
            </w:r>
          </w:p>
        </w:tc>
        <w:tc>
          <w:tcPr>
            <w:tcW w:w="777" w:type="pct"/>
            <w:shd w:val="clear" w:color="auto" w:fill="F2F2F2" w:themeFill="background1" w:themeFillShade="F2"/>
            <w:noWrap/>
          </w:tcPr>
          <w:p w14:paraId="3789C8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BD32F9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FFA57A0" w14:textId="77777777" w:rsidR="00B556CB" w:rsidRDefault="00B556CB">
      <w:pPr>
        <w:ind w:firstLine="560"/>
        <w:rPr>
          <w:color w:val="0000FF"/>
        </w:rPr>
      </w:pPr>
    </w:p>
    <w:p w14:paraId="5200793A" w14:textId="77777777" w:rsidR="00B556CB" w:rsidRDefault="00B556CB">
      <w:pPr>
        <w:ind w:firstLine="56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lastRenderedPageBreak/>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材料调差</w:t>
            </w:r>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承包商有时很很难在开工前确定地质、地下管线情况，建议明确设计及现场信息，核算报价是否包含相应的处理费用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lastRenderedPageBreak/>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该条款在一定程度上减少了当地币贬值及物价上涨对项目造成的影响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lastRenderedPageBreak/>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w:t>
      </w:r>
      <w:r>
        <w:rPr>
          <w:rFonts w:ascii="仿宋" w:hAnsi="仿宋" w:hint="eastAsia"/>
        </w:rPr>
        <w:lastRenderedPageBreak/>
        <w:t>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7"/>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外账比例</w:t>
            </w:r>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r>
              <w:rPr>
                <w:rFonts w:ascii="仿宋" w:hAnsi="仿宋" w:hint="eastAsia"/>
                <w:sz w:val="21"/>
                <w:szCs w:val="21"/>
              </w:rPr>
              <w:t>一工区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8"/>
          <w:footerReference w:type="default" r:id="rId29"/>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林泰格2000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编制（含勘查设计、技术准备、征地拆迁、轧石、物设采购等关键工作）总体进度计划，作为附件4-1。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轧石总周期（天）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轧石机选型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石方边坡坡率由1：1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31"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方案一</w:t>
            </w:r>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拟选方案</w:t>
            </w:r>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拟选方案</w:t>
            </w:r>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提前订购当地币可以采购的大宗材料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按XX人，XX个月考虑</w:t>
            </w:r>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一套轧石设备、拌合站2套、罐车3台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林泰格1500型+脱桶</w:t>
            </w:r>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轧石分包</w:t>
            </w:r>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开户行性质</w:t>
            </w:r>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10.5.2</w:t>
      </w:r>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外账成本</w:t>
            </w:r>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外账预测利润为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外账收入</w:t>
            </w:r>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外账成本</w:t>
            </w:r>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筹划后外账利润</w:t>
            </w:r>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通过以上调整后，外账利润为</w:t>
      </w:r>
      <w:proofErr w:type="spellStart"/>
      <w:r>
        <w:rPr>
          <w:rFonts w:ascii="仿宋" w:hAnsi="仿宋"/>
          <w:color w:val="0000FF"/>
          <w:szCs w:val="28"/>
        </w:rPr>
        <w:t>xxxx</w:t>
      </w:r>
      <w:proofErr w:type="spellEnd"/>
      <w:r>
        <w:rPr>
          <w:rFonts w:ascii="仿宋" w:hAnsi="仿宋" w:hint="eastAsia"/>
          <w:color w:val="0000FF"/>
          <w:szCs w:val="28"/>
        </w:rPr>
        <w:t>万美元，根据企业所得税政策，可将该亏损结转到下一年度。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3"/>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11.5.1、物设系统应用管理组织机构</w:t>
      </w:r>
    </w:p>
    <w:p w14:paraId="5278D608"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4"/>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11.5.2、物设系统AB角职责及分工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5"/>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6"/>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7"/>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8"/>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9"/>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5D808" w14:textId="77777777" w:rsidR="00A960CF" w:rsidRDefault="00A960CF">
      <w:pPr>
        <w:spacing w:line="240" w:lineRule="auto"/>
        <w:ind w:firstLine="560"/>
      </w:pPr>
      <w:r>
        <w:separator/>
      </w:r>
    </w:p>
  </w:endnote>
  <w:endnote w:type="continuationSeparator" w:id="0">
    <w:p w14:paraId="3B4D0F04" w14:textId="77777777" w:rsidR="00A960CF" w:rsidRDefault="00A960CF">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E165" w14:textId="77777777" w:rsidR="00A960CF" w:rsidRDefault="00A960CF">
      <w:pPr>
        <w:ind w:firstLine="560"/>
      </w:pPr>
      <w:r>
        <w:separator/>
      </w:r>
    </w:p>
  </w:footnote>
  <w:footnote w:type="continuationSeparator" w:id="0">
    <w:p w14:paraId="380A7FEE" w14:textId="77777777" w:rsidR="00A960CF" w:rsidRDefault="00A960CF">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proofState w:spelling="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1422"/>
    <w:rsid w:val="00541DCF"/>
    <w:rsid w:val="00544410"/>
    <w:rsid w:val="005453ED"/>
    <w:rsid w:val="00545F3F"/>
    <w:rsid w:val="00551537"/>
    <w:rsid w:val="00553ACF"/>
    <w:rsid w:val="005550DD"/>
    <w:rsid w:val="00561E0E"/>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5125E"/>
    <w:rsid w:val="00651FBA"/>
    <w:rsid w:val="00653C97"/>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6000"/>
    <w:rsid w:val="009870E9"/>
    <w:rsid w:val="00993D97"/>
    <w:rsid w:val="009948BD"/>
    <w:rsid w:val="00995319"/>
    <w:rsid w:val="009A681E"/>
    <w:rsid w:val="009B16A3"/>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2.jpeg"/><Relationship Id="rId39" Type="http://schemas.openxmlformats.org/officeDocument/2006/relationships/image" Target="media/image13.png"/><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footer" Target="foot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header" Target="header7.xml"/><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3.png"/><Relationship Id="rId30" Type="http://schemas.openxmlformats.org/officeDocument/2006/relationships/image" Target="media/image4.jpe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79</Pages>
  <Words>5004</Words>
  <Characters>28528</Characters>
  <Application>Microsoft Office Word</Application>
  <DocSecurity>0</DocSecurity>
  <Lines>237</Lines>
  <Paragraphs>66</Paragraphs>
  <ScaleCrop>false</ScaleCrop>
  <Company/>
  <LinksUpToDate>false</LinksUpToDate>
  <CharactersWithSpaces>33466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锦豪 陈</cp:lastModifiedBy>
  <cp:revision>45</cp:revision>
  <dcterms:created xsi:type="dcterms:W3CDTF">2023-11-23T06:13:00Z</dcterms:created>
  <dcterms:modified xsi:type="dcterms:W3CDTF">2024-01-02T03:13:00Z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