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眼动数据预处理独立模块方案</w:t>
      </w:r>
    </w:p>
    <w:p>
      <w:pPr>
        <w:spacing w:after="360"/>
      </w:pPr>
      <w:r>
        <w:rPr>
          <w:b/>
          <w:sz w:val="28"/>
        </w:rPr>
        <w:t>LocalGaze pre 目录实施说明</w:t>
      </w:r>
    </w:p>
    <w:p>
      <w:pPr>
        <w:spacing w:after="240"/>
      </w:pPr>
      <w:r>
        <w:rPr>
          <w:b/>
        </w:rPr>
        <w:t>本方案把 AI-PT 中已有的眼动预处理方法改写为 LocalGaze 可独立运行的 Python 模块。使用者只需提供模型位置和数据位置，程序按文件名严格一一匹配、逐个处理，并在不覆盖原始文件的前提下保持输入文件格式输出。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15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放置位置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F:\桌面\程序\LocalGaze\pre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公共入口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命令行 run_preprocessing.py；Python 函数 preprocess_paths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匹配规则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文件名去掉扩展名后完全一致，忽略大小写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格式策略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Excel 仍输出 Excel；CSV、TSV、TXT 保持原扩展名与分隔符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原始数据保护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默认输出到 Data_preprocessed，不修改或覆盖输入文件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当前状态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已完成代码、合成测试和一份真实 Excel 冒烟验证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一 目标与范围</w:t>
      </w:r>
    </w:p>
    <w:p>
      <w:r>
        <w:t>本模块解决两个工程问题：第一，将向量级预处理从 AI-PT 工程中独立出来；第二，将文件读取、模型校准误差读取、同名匹配和结果保存封装为一次可重复运行的任务。</w:t>
      </w:r>
    </w:p>
    <w:p>
      <w:pPr>
        <w:pStyle w:val="ListBullet"/>
      </w:pPr>
      <w:r>
        <w:t>输入可以是单个模型文件和单个数据文件，也可以是 Model_history 与 Data 两个目录。</w:t>
      </w:r>
    </w:p>
    <w:p>
      <w:pPr>
        <w:pStyle w:val="ListBullet"/>
      </w:pPr>
      <w:r>
        <w:t>同一批中每个名称只允许一个模型和一个数据文件；缺失或重复时明确报错，不进行模糊猜测。</w:t>
      </w:r>
    </w:p>
    <w:p>
      <w:pPr>
        <w:pStyle w:val="ListBullet"/>
      </w:pPr>
      <w:r>
        <w:t>处理范围包括坐标清洗、坏时间段诊断、短缺口插值、平滑、瞳孔清洗和质量控制。</w:t>
      </w:r>
    </w:p>
    <w:p>
      <w:pPr>
        <w:pStyle w:val="ListBullet"/>
      </w:pPr>
      <w:r>
        <w:t>本模块不做 ROI 映射、注视或扫视事件识别、特征统计和研究结论推断。</w:t>
      </w:r>
    </w:p>
    <w:p>
      <w:pPr>
        <w:pStyle w:val="Heading1"/>
        <w:keepNext/>
      </w:pPr>
      <w:r>
        <w:t>二 模块结构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6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463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core.py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纯数据表预处理；不读写文件，保持输入行数和行顺序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fileio.py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识别字段与工作表，读取校准误差，保持格式写出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pipeline.py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同名索引、一一匹配、逐文件运行、批次报告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cli.py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命令行参数与退出状态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run_preprocessing.py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可直接执行的入口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tests/test_preprocessing.py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合成向量与同名批处理验证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README.md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最短使用说明和支持范围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三 输入契约与一一对应</w:t>
      </w:r>
    </w:p>
    <w:p>
      <w:pPr>
        <w:pStyle w:val="Heading2"/>
        <w:keepNext/>
      </w:pPr>
      <w:r>
        <w:t>3.1 模型位置</w:t>
      </w:r>
    </w:p>
    <w:p>
      <w:r>
        <w:t>模型位置可以指向一个校准 Excel、一个 pkl 模型或包含多份模型的目录。若输入 pkl，程序查找同目录同名 xlsx 校准表。预处理不反序列化 pkl，也不重新预测凝视坐标。</w:t>
      </w:r>
    </w:p>
    <w:p>
      <w:pPr>
        <w:pStyle w:val="Heading2"/>
        <w:keepNext/>
      </w:pPr>
      <w:r>
        <w:t>3.2 数据位置</w:t>
      </w:r>
    </w:p>
    <w:p>
      <w:r>
        <w:t>数据位置可以指向一个数据文件或目录。当前支持 xlsx、xlsm、csv、tsv 和 txt。Excel 优先读取“眼动数据”工作表；没有该名称时，程序逐表查找可识别的时间、X 和 Y 字段。</w:t>
      </w:r>
    </w:p>
    <w:p>
      <w:pPr>
        <w:pStyle w:val="Heading2"/>
        <w:keepNext/>
      </w:pPr>
      <w:r>
        <w:t>3.3 名称匹配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94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94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317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A10-AUT.xlsx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A10-AUT.xlsx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匹配并处理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A10-AUT.pkl 与同目录 A10-AUT.xlsx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A10-AUT.tsv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使用同名校准 Excel 并保持 TSV 输出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A10-AUT.xlsx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A10-CT.xlsx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不匹配，写入批次报告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两个目录中各出现两个 A10-AUT 数据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任意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停止并报告重复名称</w:t>
            </w:r>
          </w:p>
        </w:tc>
      </w:tr>
    </w:tbl>
    <w:p>
      <w:pPr>
        <w:spacing w:after="0"/>
      </w:pPr>
    </w:p>
    <w:p>
      <w:pPr>
        <w:pStyle w:val="Heading2"/>
        <w:keepNext/>
        <w:pageBreakBefore/>
      </w:pPr>
      <w:r>
        <w:t>3.4 字段识别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9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53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是否必需</w:t>
            </w:r>
          </w:p>
        </w:tc>
        <w:tc>
          <w:tcPr>
            <w:tcW w:type="dxa" w:w="5613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可识别示例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时间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必需</w:t>
            </w:r>
          </w:p>
        </w:tc>
        <w:tc>
          <w:tcPr>
            <w:tcW w:type="dxa" w:w="561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时间、时间戳、Timestamp、Time、Datetime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水平坐标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必需</w:t>
            </w:r>
          </w:p>
        </w:tc>
        <w:tc>
          <w:tcPr>
            <w:tcW w:type="dxa" w:w="561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x、GazeX、gaze_x、水平坐标、横坐标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垂直坐标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必需</w:t>
            </w:r>
          </w:p>
        </w:tc>
        <w:tc>
          <w:tcPr>
            <w:tcW w:type="dxa" w:w="561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y、GazeY、gaze_y、垂直坐标、纵坐标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眨眼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561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blink、眨眼、眨眼标记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瞳孔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561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左瞳孔直径、右瞳孔直径及对应英文名称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四 处理流程</w:t>
      </w:r>
    </w:p>
    <w:p>
      <w:pPr>
        <w:pStyle w:val="ListNumber"/>
      </w:pPr>
      <w:r>
        <w:t>读取模型和数据路径，递归发现支持的文件并建立名称索引。</w:t>
      </w:r>
    </w:p>
    <w:p>
      <w:pPr>
        <w:pStyle w:val="ListNumber"/>
      </w:pPr>
      <w:r>
        <w:t>检查模型与数据是否同名且唯一；未匹配项写入批次报告。</w:t>
      </w:r>
    </w:p>
    <w:p>
      <w:pPr>
        <w:pStyle w:val="ListNumber"/>
      </w:pPr>
      <w:r>
        <w:t>读取数据表并解析时间。字符串时间转换为相对秒；纯数值时间使用明确的时间单位。</w:t>
      </w:r>
    </w:p>
    <w:p>
      <w:pPr>
        <w:pStyle w:val="ListNumber"/>
      </w:pPr>
      <w:r>
        <w:t>标记非有限坐标、屏幕外坐标和眨眼保护区，并按长时间断点建立连续区段。</w:t>
      </w:r>
    </w:p>
    <w:p>
      <w:pPr>
        <w:pStyle w:val="ListNumber"/>
      </w:pPr>
      <w:r>
        <w:t>用三点往返结构识别孤立尖峰；用相邻样本速度生成速度候选标记。</w:t>
      </w:r>
    </w:p>
    <w:p>
      <w:pPr>
        <w:pStyle w:val="ListNumber"/>
      </w:pPr>
      <w:r>
        <w:t>按 500 ms 窗口和 100 ms 步长计算丢失比例、屏幕外比例、RMS S2S、局部 MAD、速度候选比例和往返尖峰比例。</w:t>
      </w:r>
    </w:p>
    <w:p>
      <w:pPr>
        <w:pStyle w:val="ListNumber"/>
      </w:pPr>
      <w:r>
        <w:t>将高丢失窗口标为坏时间段。没有外部参考区间时，高波动窗口只标为可疑，不自动当作坏段。</w:t>
      </w:r>
    </w:p>
    <w:p>
      <w:pPr>
        <w:pStyle w:val="ListNumber"/>
      </w:pPr>
      <w:r>
        <w:t>若模型校准表提供有效像素误差，仅在线性插值两端距离不超过该误差、端点在同一连续区段且缺口足够短时插值。</w:t>
      </w:r>
    </w:p>
    <w:p>
      <w:pPr>
        <w:pStyle w:val="ListNumber"/>
      </w:pPr>
      <w:r>
        <w:t>对坐标使用 60 ms、最多五点的分段中值平滑；不跨眨眼、坏段和长断点。</w:t>
      </w:r>
    </w:p>
    <w:p>
      <w:pPr>
        <w:pStyle w:val="ListNumber"/>
      </w:pPr>
      <w:r>
        <w:t>对瞳孔识别突变伪影、进行短缺口插值，并在采样率允许时执行 4 Hz 对称高斯低通处理。</w:t>
      </w:r>
    </w:p>
    <w:p>
      <w:pPr>
        <w:pStyle w:val="ListNumber"/>
      </w:pPr>
      <w:r>
        <w:t>在原表右侧追加 Pre 列，写入 QC、窗口和坏段工作表或 JSON 旁车文件。</w:t>
      </w:r>
    </w:p>
    <w:p>
      <w:pPr>
        <w:pStyle w:val="Heading1"/>
        <w:keepNext/>
      </w:pPr>
      <w:r>
        <w:t>五 关键规则与原方法的调整</w:t>
      </w:r>
    </w:p>
    <w:p>
      <w:pPr>
        <w:pStyle w:val="Heading2"/>
        <w:keepNext/>
      </w:pPr>
      <w:r>
        <w:t>5.1 时间与行对齐</w:t>
      </w:r>
    </w:p>
    <w:p>
      <w:r>
        <w:t>输出必须与原始数据逐行对应，因此模块不自动排序，也不静默删除重复时间戳。时间倒序或重复会使当前文件失败，并在报告中给出原因。该规则避免清洗结果与实验事件、原始行号发生错位。</w:t>
      </w:r>
    </w:p>
    <w:p>
      <w:pPr>
        <w:pStyle w:val="Heading2"/>
        <w:keepNext/>
      </w:pPr>
      <w:r>
        <w:t>5.2 模型校准误差</w:t>
      </w:r>
    </w:p>
    <w:p>
      <w:r>
        <w:t>优先读取 AdditionalCalibration 工作表中 MeanErrorPerRound 的最后一个有限非负值；若不可用，回退为 NinePointCalibration 工作表 Error 的有限非负值均值。该数值作为短缺口坐标插值的端点距离上限，并保存在 QC 中。没有可用误差时关闭坐标插值，仍完成其他步骤。</w:t>
      </w:r>
    </w:p>
    <w:p>
      <w:pPr>
        <w:pStyle w:val="Heading2"/>
        <w:keepNext/>
      </w:pPr>
      <w:r>
        <w:t>5.3 坏时间段</w:t>
      </w:r>
    </w:p>
    <w:p>
      <w:r>
        <w:t>坏段检测保留先前方法的质量窗口结构。高丢失或屏幕外比例可以形成坏段；高波动需要可靠外部参考区间才确认。当前独立文件入口没有参考任务标记，因此高波动仅标为 SuspectSegment。这样可以减少把真实快速眼动误删为噪声的风险。</w:t>
      </w:r>
    </w:p>
    <w:p>
      <w:pPr>
        <w:pStyle w:val="Heading2"/>
        <w:keepNext/>
      </w:pPr>
      <w:r>
        <w:t>5.4 候选参数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89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39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质量窗口与步长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500 ms 与 100 ms</w:t>
            </w:r>
          </w:p>
        </w:tc>
        <w:tc>
          <w:tcPr>
            <w:tcW w:type="dxa" w:w="3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项目候选设置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坏段丢失比例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&gt; 0.50</w:t>
            </w:r>
          </w:p>
        </w:tc>
        <w:tc>
          <w:tcPr>
            <w:tcW w:type="dxa" w:w="3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项目候选设置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坐标插值最大缺口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50 ms</w:t>
            </w:r>
          </w:p>
        </w:tc>
        <w:tc>
          <w:tcPr>
            <w:tcW w:type="dxa" w:w="3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不稳定数据预设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坐标平滑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60 ms 中值，最多五点</w:t>
            </w:r>
          </w:p>
        </w:tc>
        <w:tc>
          <w:tcPr>
            <w:tcW w:type="dxa" w:w="3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分段处理，不跨硬边界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眨眼保护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前后 50 ms</w:t>
            </w:r>
          </w:p>
        </w:tc>
        <w:tc>
          <w:tcPr>
            <w:tcW w:type="dxa" w:w="3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项目候选设置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瞳孔插值最大缺口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75 ms</w:t>
            </w:r>
          </w:p>
        </w:tc>
        <w:tc>
          <w:tcPr>
            <w:tcW w:type="dxa" w:w="3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项目候选设置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瞳孔低通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 Hz 对称高斯</w:t>
            </w:r>
          </w:p>
        </w:tc>
        <w:tc>
          <w:tcPr>
            <w:tcW w:type="dxa" w:w="3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采样率需高于奈奎斯特条件</w:t>
            </w:r>
          </w:p>
        </w:tc>
      </w:tr>
    </w:tbl>
    <w:p>
      <w:pPr>
        <w:spacing w:after="0"/>
      </w:pPr>
    </w:p>
    <w:p>
      <w:r>
        <w:t>这些窗口、比例、MAD 倍数、平滑设置和自拟坏段规则需要结合人工标注片段、校准记录与真实数据质量检查冻结，不能写成已被文献验证的通用阈值。</w:t>
      </w:r>
    </w:p>
    <w:p>
      <w:pPr>
        <w:pStyle w:val="Heading1"/>
        <w:keepNext/>
      </w:pPr>
      <w:r>
        <w:t>六 输出设计</w:t>
      </w:r>
    </w:p>
    <w:p>
      <w:pPr>
        <w:pStyle w:val="Heading2"/>
        <w:keepNext/>
      </w:pPr>
      <w:r>
        <w:t>6.1 原格式输出</w:t>
      </w:r>
    </w:p>
    <w:p>
      <w:pPr>
        <w:pStyle w:val="ListBullet"/>
      </w:pPr>
      <w:r>
        <w:t>Excel：复制原工作簿，保留原有工作表与原始列，在眼动表右侧追加 Pre 列。</w:t>
      </w:r>
    </w:p>
    <w:p>
      <w:pPr>
        <w:pStyle w:val="ListBullet"/>
      </w:pPr>
      <w:r>
        <w:t>CSV、TSV、TXT：使用原分隔符与原扩展名输出，在右侧追加 Pre 列。</w:t>
      </w:r>
    </w:p>
    <w:p>
      <w:pPr>
        <w:pStyle w:val="ListBullet"/>
      </w:pPr>
      <w:r>
        <w:t>默认输出目录位于数据目录旁，例如 Data 对应 Data_preprocessed。</w:t>
      </w:r>
    </w:p>
    <w:p>
      <w:pPr>
        <w:pStyle w:val="ListBullet"/>
      </w:pPr>
      <w:r>
        <w:t>已有同名输出不会覆盖；该文件在报告中记为失败，使用者可更换输出目录后重跑。</w:t>
      </w:r>
    </w:p>
    <w:p>
      <w:pPr>
        <w:pStyle w:val="Heading2"/>
        <w:keepNext/>
      </w:pPr>
      <w:r>
        <w:t>6.2 主要追加字段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字段组</w:t>
            </w:r>
          </w:p>
        </w:tc>
        <w:tc>
          <w:tcPr>
            <w:tcW w:type="dxa" w:w="419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06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清洗坐标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Pre_XArtifactRemoved、Pre_XClean、Pre_X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区分去伪影、插值与平滑结果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有效性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Pre_ValidMeasured、Pre_ValidFinal、Pre_Invalid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保留实测有效与最终可用状态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原因掩码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Pre_BlinkPaddingMask、Pre_OutOfBoundsMask、Pre_SpikeMask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追溯样本为什么被排除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坏段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Pre_BadSegmentMask、Pre_SuspectSegmentMask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区分确认坏段与可疑段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连续性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Pre_BreakBefore、Pre_SegmentID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防止跨断点插值和平滑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瞳孔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Pre_LeftPupilClean 及对应有效、伪影、插值掩码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保存每眼处理结果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质量控制附件</w:t>
      </w:r>
    </w:p>
    <w:p>
      <w:pPr>
        <w:pStyle w:val="ListBullet"/>
      </w:pPr>
      <w:r>
        <w:t>Pre_QC：方法版本、采样率、有效比例、插值数、尖峰数、坏段数、参数与模型误差来源。</w:t>
      </w:r>
    </w:p>
    <w:p>
      <w:pPr>
        <w:pStyle w:val="ListBullet"/>
      </w:pPr>
      <w:r>
        <w:t>Pre_Windows：每个质量窗口的诊断指标和判定结果。</w:t>
      </w:r>
    </w:p>
    <w:p>
      <w:pPr>
        <w:pStyle w:val="ListBullet"/>
      </w:pPr>
      <w:r>
        <w:t>Pre_BadSegments 与 Pre_SuspectSegments：区段起止时间、持续时间和原因。</w:t>
      </w:r>
    </w:p>
    <w:p>
      <w:pPr>
        <w:pStyle w:val="ListBullet"/>
      </w:pPr>
      <w:r>
        <w:t>preprocess_report.csv：整批每一名称的模型、数据、输出、状态与错误。</w:t>
      </w:r>
    </w:p>
    <w:p>
      <w:pPr>
        <w:pStyle w:val="ListBullet"/>
      </w:pPr>
      <w:r>
        <w:t>preprocess_manifest.json：本次输入路径、输出路径、配置和匹配规则。</w:t>
      </w:r>
    </w:p>
    <w:p>
      <w:pPr>
        <w:pStyle w:val="Heading1"/>
        <w:keepNext/>
      </w:pPr>
      <w:r>
        <w:t>七 使用方式</w:t>
      </w:r>
    </w:p>
    <w:p>
      <w:pPr>
        <w:pStyle w:val="Heading2"/>
        <w:keepNext/>
      </w:pPr>
      <w:r>
        <w:t>7.1 目录批处理</w:t>
      </w:r>
    </w:p>
    <w:p>
      <w:pPr>
        <w:keepLines/>
        <w:spacing w:before="80" w:after="160"/>
        <w:ind w:left="340" w:right="340"/>
      </w:pPr>
      <w:r>
        <w:rPr>
          <w:rFonts w:ascii="Consolas" w:hAnsi="Consolas"/>
          <w:sz w:val="18"/>
        </w:rPr>
        <w:t>python .\pre\run_preprocessing.py `</w:t>
        <w:br/>
        <w:t xml:space="preserve">  --model "F:\数据\被试1\Model_history" `</w:t>
        <w:br/>
        <w:t xml:space="preserve">  --data "F:\数据\被试1\Data"</w:t>
      </w:r>
    </w:p>
    <w:p>
      <w:pPr>
        <w:pStyle w:val="Heading2"/>
        <w:keepNext/>
      </w:pPr>
      <w:r>
        <w:t>7.2 单文件</w:t>
      </w:r>
    </w:p>
    <w:p>
      <w:pPr>
        <w:keepLines/>
        <w:ind w:left="340"/>
      </w:pPr>
      <w:r>
        <w:rPr>
          <w:rFonts w:ascii="Consolas" w:hAnsi="Consolas"/>
          <w:sz w:val="18"/>
        </w:rPr>
        <w:t>python .\pre\run_preprocessing.py `</w:t>
        <w:br/>
        <w:t xml:space="preserve">  --model "F:\数据\Model_history\A10-AUT.xlsx" `</w:t>
        <w:br/>
        <w:t xml:space="preserve">  --data "F:\数据\Data\A10-AUT.xlsx" `</w:t>
        <w:br/>
        <w:t xml:space="preserve">  --output "F:\数据\Data_preprocessed"</w:t>
      </w:r>
    </w:p>
    <w:p>
      <w:pPr>
        <w:pStyle w:val="Heading2"/>
        <w:keepNext/>
      </w:pPr>
      <w:r>
        <w:t>7.3 Python 调用</w:t>
      </w:r>
    </w:p>
    <w:p>
      <w:pPr>
        <w:keepLines/>
        <w:ind w:left="340"/>
      </w:pPr>
      <w:r>
        <w:rPr>
          <w:rFonts w:ascii="Consolas" w:hAnsi="Consolas"/>
          <w:sz w:val="18"/>
        </w:rPr>
        <w:t>from pre import preprocess_paths</w:t>
        <w:br/>
        <w:t>report = preprocess_paths(model_path, data_path, output_path)</w:t>
      </w:r>
    </w:p>
    <w:p>
      <w:pPr>
        <w:pStyle w:val="Heading1"/>
        <w:keepNext/>
      </w:pPr>
      <w:r>
        <w:t>八 失败处理与恢复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00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606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名称不对应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不处理该名称，在报告中标记 data_without_model 或 model_without_data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同名重复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停止索引并报告全部冲突路径，要求人工消除歧义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缺少时间或坐标列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当前文件失败；其他已匹配文件继续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时间倒序或重复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当前文件失败，避免破坏逐行对应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校准误差缺失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关闭坐标插值，继续完成其余预处理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输出已存在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不覆盖，当前文件失败并给出输出路径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某一文件损坏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当前文件失败；错误类型和消息写入批次报告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九 验证结果</w:t>
      </w:r>
    </w:p>
    <w:p>
      <w:pPr>
        <w:pStyle w:val="Heading2"/>
        <w:keepNext/>
      </w:pPr>
      <w:r>
        <w:t>9.1 合成验证</w:t>
      </w:r>
    </w:p>
    <w:p>
      <w:r>
        <w:t>标准库 unittest 已验证两类行为：向量预处理保持输入行数并扩展眨眼保护区；同名模型和 TSV 数据可完成匹配、读取九点校准误差、保持 TSV 输出并生成 QC JSON。两项测试均通过。</w:t>
      </w:r>
    </w:p>
    <w:p>
      <w:pPr>
        <w:pStyle w:val="Heading2"/>
        <w:keepNext/>
      </w:pPr>
      <w:r>
        <w:t>9.2 真实文件冒烟验证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被试1 Model_history A10-AUT.xlsx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被试1 Data A10-AUT.xlsx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输入样本数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20,440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记录时长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625.86 秒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估计采样率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31.25 Hz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校准误差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35.0746 像素，来自额外校准最后一个有效均值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最终有效样本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15,856，比例 77.57%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输出结构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原两张工作表保留，新增四张 Pre 工作表，眼动表共 36 列</w:t>
            </w:r>
          </w:p>
        </w:tc>
      </w:tr>
    </w:tbl>
    <w:p>
      <w:pPr>
        <w:spacing w:after="0"/>
      </w:pPr>
    </w:p>
    <w:p>
      <w:r>
        <w:t>该冒烟验证证明当前实现能够处理现有 LocalGaze 工作簿并输出可追溯结果。它不等同于科学有效性验证；最终阈值仍需依据人工标注和研究方案冻结。</w:t>
      </w:r>
    </w:p>
    <w:p>
      <w:pPr>
        <w:pStyle w:val="Heading1"/>
        <w:keepNext/>
      </w:pPr>
      <w:r>
        <w:t>十 后续验收建议</w:t>
      </w:r>
    </w:p>
    <w:p>
      <w:pPr>
        <w:pStyle w:val="ListNumber"/>
      </w:pPr>
      <w:r>
        <w:t>从不同被试和任务各抽取至少一份文件，检查文件名匹配、工作表识别和批次耗时。</w:t>
      </w:r>
    </w:p>
    <w:p>
      <w:pPr>
        <w:pStyle w:val="ListNumber"/>
      </w:pPr>
      <w:r>
        <w:t>人工标注若干眨眼、丢帧、屏幕外、孤立尖峰和真实快速眼动片段，计算坏段识别的误判与漏判。</w:t>
      </w:r>
    </w:p>
    <w:p>
      <w:pPr>
        <w:pStyle w:val="ListNumber"/>
      </w:pPr>
      <w:r>
        <w:t>核对每位被试的屏幕分辨率，运行时通过 width 和 height 固定边界。</w:t>
      </w:r>
    </w:p>
    <w:p>
      <w:pPr>
        <w:pStyle w:val="ListNumber"/>
      </w:pPr>
      <w:r>
        <w:t>冻结时间单位、屏幕范围、插值距离来源和项目候选阈值，并在研究方法中记录版本。</w:t>
      </w:r>
    </w:p>
    <w:p>
      <w:pPr>
        <w:pStyle w:val="ListNumber"/>
      </w:pPr>
      <w:r>
        <w:t>在批量生产运行前复制一小批数据做端到端复核，确认原始列、时间和实验信息表均保持不变。</w:t>
      </w:r>
    </w:p>
    <w:p>
      <w:pPr>
        <w:pStyle w:val="Heading1"/>
        <w:keepNext/>
      </w:pPr>
      <w:r>
        <w:t>十一 方法来源</w:t>
      </w:r>
    </w:p>
    <w:p>
      <w:r>
        <w:t>本实现沿用 AI-PT 中 AIPT.main.Eyedata_Pre 的分层结构，并针对 LocalGaze 文件组织和 Python 环境调整。以下来源用于说明相关方法概念；本项目的具体候选阈值仍由项目验证决定。</w:t>
      </w:r>
    </w:p>
    <w:p>
      <w:pPr>
        <w:spacing w:after="40" w:line="240" w:lineRule="auto"/>
        <w:ind w:left="397" w:hanging="397"/>
      </w:pPr>
      <w:r>
        <w:rPr>
          <w:sz w:val="17"/>
        </w:rPr>
        <w:t>Andersson, R., Larsson, L., Holmqvist, K., Stridh, M., &amp; Nyström, M. (2017). One algorithm to rule them all? An evaluation and discussion of ten eye movement event detection algorithms. Behavior Research Methods, 49, 616–637.</w:t>
      </w:r>
    </w:p>
    <w:p>
      <w:pPr>
        <w:spacing w:after="40" w:line="240" w:lineRule="auto"/>
        <w:ind w:left="397" w:hanging="397"/>
      </w:pPr>
      <w:r>
        <w:rPr>
          <w:sz w:val="17"/>
        </w:rPr>
        <w:t>Geller, J., Winn, M. B., Mahr, T., &amp; Mirman, D. (2020). GazeR: A package for processing gaze position and pupil size data. Behavior Research Methods, 52, 2232–2255.</w:t>
      </w:r>
    </w:p>
    <w:p>
      <w:pPr>
        <w:spacing w:after="40" w:line="240" w:lineRule="auto"/>
        <w:ind w:left="397" w:hanging="397"/>
      </w:pPr>
      <w:r>
        <w:rPr>
          <w:sz w:val="17"/>
        </w:rPr>
        <w:t>Holmqvist, K., Nyström, M., &amp; Mulvey, F. (2012). Eye tracker data quality: What it is and how to measure it. Proceedings of the Symposium on Eye Tracking Research and Applications, 45–52.</w:t>
      </w:r>
    </w:p>
    <w:p>
      <w:pPr>
        <w:spacing w:after="40" w:line="240" w:lineRule="auto"/>
        <w:ind w:left="397" w:hanging="397"/>
      </w:pPr>
      <w:r>
        <w:rPr>
          <w:sz w:val="17"/>
        </w:rPr>
        <w:t>Kret, M. E., &amp; Sjak-Shie, E. E. (2019). Preprocessing pupil size data: Guidelines and code. Behavior Research Methods, 51, 1336–1342.</w:t>
      </w:r>
    </w:p>
    <w:p>
      <w:pPr>
        <w:spacing w:after="40" w:line="240" w:lineRule="auto"/>
        <w:ind w:left="397" w:hanging="397"/>
      </w:pPr>
      <w:r>
        <w:rPr>
          <w:sz w:val="17"/>
        </w:rPr>
        <w:t>Savitzky, A., &amp; Golay, M. J. E. (1964). Smoothing and differentiation of data by simplified least squares procedures. Analytical Chemistry, 36, 1627–1639.</w:t>
      </w:r>
    </w:p>
    <w:p>
      <w:pPr>
        <w:spacing w:after="40" w:line="240" w:lineRule="auto"/>
        <w:ind w:left="397" w:hanging="397"/>
      </w:pPr>
      <w:r>
        <w:rPr>
          <w:sz w:val="17"/>
        </w:rPr>
        <w:t>Stampe, D. M. (1993). Heuristic filtering and reliable calibration methods for video-based pupil-tracking systems. Behavior Research Methods, Instruments, &amp; Computers, 25, 137–142.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7"/>
      </w:rPr>
      <w:t>LocalGaze 眼动数据预处理独立模块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眼动数据预处理独立模块方案</dc:title>
  <dc:subject>LocalGaze pre 目录实施说明</dc:subject>
  <dc:creator>python-docx</dc:creator>
  <cp:keywords>LocalGaze, 眼动数据, 预处理, 质量控制</cp:keywords>
  <dc:description>Generated from the implemented LocalGaze pre module and verified outputs.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