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300" w:line="240"/>
        <w:ind w:right="0" w:left="0" w:firstLine="0"/>
        <w:jc w:val="both"/>
        <w:rPr>
          <w:rFonts w:ascii="Cambria" w:hAnsi="Cambria" w:cs="Cambria" w:eastAsia="Cambria"/>
          <w:b/>
          <w:color w:val="000000"/>
          <w:spacing w:val="5"/>
          <w:position w:val="0"/>
          <w:sz w:val="44"/>
          <w:shd w:fill="auto" w:val="clear"/>
        </w:rPr>
      </w:pPr>
      <w:r>
        <w:rPr>
          <w:rFonts w:ascii="Cambria" w:hAnsi="Cambria" w:cs="Cambria" w:eastAsia="Cambria"/>
          <w:b/>
          <w:color w:val="000000"/>
          <w:spacing w:val="5"/>
          <w:position w:val="0"/>
          <w:sz w:val="44"/>
          <w:shd w:fill="auto" w:val="clear"/>
        </w:rPr>
        <w:t xml:space="preserve">Game development blog</w:t>
      </w:r>
    </w:p>
    <w:p>
      <w:pPr>
        <w:keepNext w:val="true"/>
        <w:spacing w:before="0" w:after="0" w:line="240"/>
        <w:ind w:right="0" w:left="0" w:firstLine="0"/>
        <w:jc w:val="left"/>
        <w:rPr>
          <w:rFonts w:ascii="Arial" w:hAnsi="Arial" w:cs="Arial" w:eastAsia="Arial"/>
          <w:b/>
          <w:color w:val="auto"/>
          <w:spacing w:val="0"/>
          <w:position w:val="0"/>
          <w:sz w:val="28"/>
          <w:shd w:fill="auto" w:val="clear"/>
        </w:rPr>
      </w:pPr>
      <w:r>
        <w:rPr>
          <w:rFonts w:ascii="Arial" w:hAnsi="Arial" w:cs="Arial" w:eastAsia="Arial"/>
          <w:b/>
          <w:color w:val="auto"/>
          <w:spacing w:val="0"/>
          <w:position w:val="0"/>
          <w:sz w:val="28"/>
          <w:shd w:fill="auto" w:val="clear"/>
        </w:rPr>
        <w:t xml:space="preserve">Name: </w:t>
        <w:tab/>
        <w:tab/>
        <w:tab/>
        <w:tab/>
        <w:tab/>
        <w:tab/>
        <w:t xml:space="preserve">Student ID:</w:t>
        <w:tab/>
        <w:tab/>
      </w:r>
    </w:p>
    <w:p>
      <w:pPr>
        <w:spacing w:before="0" w:after="0" w:line="240"/>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both"/>
        <w:rPr>
          <w:rFonts w:ascii="Arial" w:hAnsi="Arial" w:cs="Arial" w:eastAsia="Arial"/>
          <w:color w:val="auto"/>
          <w:spacing w:val="0"/>
          <w:position w:val="0"/>
          <w:sz w:val="22"/>
          <w:shd w:fill="auto" w:val="clear"/>
        </w:rPr>
      </w:pPr>
    </w:p>
    <w:tbl>
      <w:tblPr/>
      <w:tblGrid>
        <w:gridCol w:w="644"/>
        <w:gridCol w:w="1073"/>
        <w:gridCol w:w="3319"/>
        <w:gridCol w:w="3980"/>
      </w:tblGrid>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Item</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Date</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Feedback</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Response</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T1 sixes, Mark says: comment class definitions</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commented class definitions for class names I don't think are obvious as to what they do</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T7 sixes d3d, Mark says don’t roll 7s</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altered the random number generator to do this</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3</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T7 sixes d3d, Mark says don’t over abbreviate excessively and then use comments, just pick a good name.</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Changed UR function name to UpdateAndRender and changed dt variable to deletatime</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4</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Dxstarter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Mark says, dubious use of an anonymous namespace to hide global variables. Don</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t use dynamic allocation when not needed. Don</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t just copy and paste hedaers everywhere. Remove unnecessary stale code.</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got rid of anonymous namespace, got rid of dynamic allocation that wasn't needed, removed copied and pasted headers</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5</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Game proj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Mark says, use enum class instead of magic numbers. Move motion control into the Player object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objects should contain state and behaviour they own. Avoid hard coded magic number that limit flexibility of the system.</w:t>
            </w:r>
          </w:p>
          <w:p>
            <w:pPr>
              <w:spacing w:before="0" w:after="0" w:line="240"/>
              <w:ind w:right="0" w:left="0" w:firstLine="0"/>
              <w:jc w:val="both"/>
              <w:rPr>
                <w:color w:val="auto"/>
                <w:spacing w:val="0"/>
                <w:position w:val="0"/>
                <w:sz w:val="22"/>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This will be taken into account on the directx version</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6</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17/12/19</w:t>
            </w: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Clocks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Mark says, don’t hold the game inside a constructor. Don’t create local variable fonts and then hang onto references to them (as they will be destroyed).</w:t>
            </w: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game no longer inside constructor, no longer holding onto references of local variable fonts </w:t>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7</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8</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9</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10</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11</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12</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13</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14</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15</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16</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17</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18</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19</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20</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21</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22</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23</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24</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25</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26</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27</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28</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29</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575" w:leader="none"/>
              </w:tabs>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ab/>
            </w: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30</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575" w:leader="none"/>
              </w:tabs>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31</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575" w:leader="none"/>
              </w:tabs>
              <w:spacing w:before="0" w:after="0" w:line="240"/>
              <w:ind w:right="0" w:left="0" w:firstLine="0"/>
              <w:jc w:val="both"/>
              <w:rPr>
                <w:rFonts w:ascii="Calibri" w:hAnsi="Calibri" w:cs="Calibri" w:eastAsia="Calibri"/>
                <w:color w:val="auto"/>
                <w:spacing w:val="0"/>
                <w:position w:val="0"/>
                <w:sz w:val="22"/>
                <w:shd w:fill="auto" w:val="clear"/>
              </w:rPr>
            </w:pPr>
          </w:p>
        </w:tc>
      </w:tr>
      <w:tr>
        <w:trPr>
          <w:trHeight w:val="1" w:hRule="atLeast"/>
          <w:jc w:val="left"/>
        </w:trPr>
        <w:tc>
          <w:tcPr>
            <w:tcW w:w="644"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color w:val="auto"/>
                <w:spacing w:val="0"/>
                <w:position w:val="0"/>
                <w:sz w:val="22"/>
              </w:rPr>
            </w:pPr>
            <w:r>
              <w:rPr>
                <w:rFonts w:ascii="Arial" w:hAnsi="Arial" w:cs="Arial" w:eastAsia="Arial"/>
                <w:color w:val="auto"/>
                <w:spacing w:val="0"/>
                <w:position w:val="0"/>
                <w:sz w:val="22"/>
                <w:shd w:fill="auto" w:val="clear"/>
              </w:rPr>
              <w:t xml:space="preserve">32</w:t>
            </w:r>
          </w:p>
        </w:tc>
        <w:tc>
          <w:tcPr>
            <w:tcW w:w="1073"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319"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spacing w:before="0" w:after="0" w:line="240"/>
              <w:ind w:right="0" w:left="0" w:firstLine="0"/>
              <w:jc w:val="both"/>
              <w:rPr>
                <w:rFonts w:ascii="Calibri" w:hAnsi="Calibri" w:cs="Calibri" w:eastAsia="Calibri"/>
                <w:color w:val="auto"/>
                <w:spacing w:val="0"/>
                <w:position w:val="0"/>
                <w:sz w:val="22"/>
                <w:shd w:fill="auto" w:val="clear"/>
              </w:rPr>
            </w:pPr>
          </w:p>
        </w:tc>
        <w:tc>
          <w:tcPr>
            <w:tcW w:w="3980" w:type="dxa"/>
            <w:tcBorders>
              <w:top w:val="single" w:color="000000" w:sz="4"/>
              <w:left w:val="single" w:color="000000" w:sz="4"/>
              <w:bottom w:val="single" w:color="000000" w:sz="4"/>
              <w:right w:val="single" w:color="000000" w:sz="4"/>
            </w:tcBorders>
            <w:shd w:color="000000" w:fill="ffffff" w:val="clear"/>
            <w:tcMar>
              <w:left w:w="108" w:type="dxa"/>
              <w:right w:w="108" w:type="dxa"/>
            </w:tcMar>
            <w:vAlign w:val="top"/>
          </w:tcPr>
          <w:p>
            <w:pPr>
              <w:tabs>
                <w:tab w:val="left" w:pos="1575" w:leader="none"/>
              </w:tabs>
              <w:spacing w:before="0" w:after="0" w:line="240"/>
              <w:ind w:right="0" w:left="0" w:firstLine="0"/>
              <w:jc w:val="both"/>
              <w:rPr>
                <w:rFonts w:ascii="Calibri" w:hAnsi="Calibri" w:cs="Calibri" w:eastAsia="Calibri"/>
                <w:color w:val="auto"/>
                <w:spacing w:val="0"/>
                <w:position w:val="0"/>
                <w:sz w:val="22"/>
                <w:shd w:fill="auto" w:val="clear"/>
              </w:rPr>
            </w:pPr>
          </w:p>
        </w:tc>
      </w:tr>
    </w:tbl>
    <w:p>
      <w:pPr>
        <w:spacing w:before="0" w:after="0" w:line="240"/>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both"/>
        <w:rPr>
          <w:rFonts w:ascii="Arial" w:hAnsi="Arial" w:cs="Arial" w:eastAsia="Arial"/>
          <w:color w:val="auto"/>
          <w:spacing w:val="0"/>
          <w:position w:val="0"/>
          <w:sz w:val="22"/>
          <w:shd w:fill="auto" w:val="clear"/>
        </w:rPr>
      </w:pPr>
      <w:r>
        <w:rPr>
          <w:rFonts w:ascii="Arial" w:hAnsi="Arial" w:cs="Arial" w:eastAsia="Arial"/>
          <w:b/>
          <w:color w:val="auto"/>
          <w:spacing w:val="0"/>
          <w:position w:val="0"/>
          <w:sz w:val="22"/>
          <w:shd w:fill="auto" w:val="clear"/>
        </w:rPr>
        <w:t xml:space="preserve">Instructions: </w:t>
      </w:r>
      <w:r>
        <w:rPr>
          <w:rFonts w:ascii="Arial" w:hAnsi="Arial" w:cs="Arial" w:eastAsia="Arial"/>
          <w:color w:val="auto"/>
          <w:spacing w:val="0"/>
          <w:position w:val="0"/>
          <w:sz w:val="22"/>
          <w:shd w:fill="auto" w:val="clear"/>
        </w:rPr>
        <w:t xml:space="preserve">this module is assessed by you creating multiple pieces of work that all need to be in separate folders with sensible titles. There will be ONE of these blogs. Each week you will look for feedback on your assessed work, you will record what was said, the date and then record what you did about it. For example: feedback - "your game is too hard, it's impossible to complete", response - "made a new version and rewrote the enemy spawner to lower the difficulty level, see \mywork\spacekiller\v3, updated spawner.cpp lines 200-256. I re-read the notes on text loading and now the spawner can be configured from a text file so it's easier to balance the difficulty."</w:t>
      </w:r>
    </w:p>
    <w:p>
      <w:pPr>
        <w:spacing w:before="0" w:after="0" w:line="240"/>
        <w:ind w:right="0" w:left="0" w:firstLine="0"/>
        <w:jc w:val="both"/>
        <w:rPr>
          <w:rFonts w:ascii="Arial" w:hAnsi="Arial" w:cs="Arial" w:eastAsia="Arial"/>
          <w:color w:val="auto"/>
          <w:spacing w:val="0"/>
          <w:position w:val="0"/>
          <w:sz w:val="22"/>
          <w:shd w:fill="auto" w:val="clear"/>
        </w:rPr>
      </w:pPr>
    </w:p>
    <w:p>
      <w:pPr>
        <w:spacing w:before="0" w:after="0" w:line="240"/>
        <w:ind w:right="0" w:left="0" w:firstLine="0"/>
        <w:jc w:val="both"/>
        <w:rPr>
          <w:rFonts w:ascii="Arial" w:hAnsi="Arial" w:cs="Arial" w:eastAsia="Arial"/>
          <w:color w:val="auto"/>
          <w:spacing w:val="0"/>
          <w:position w:val="0"/>
          <w:sz w:val="22"/>
          <w:shd w:fill="auto" w:val="clear"/>
        </w:rPr>
      </w:pPr>
      <w:r>
        <w:rPr>
          <w:rFonts w:ascii="Arial" w:hAnsi="Arial" w:cs="Arial" w:eastAsia="Arial"/>
          <w:color w:val="auto"/>
          <w:spacing w:val="0"/>
          <w:position w:val="0"/>
          <w:sz w:val="22"/>
          <w:shd w:fill="auto" w:val="clear"/>
        </w:rPr>
        <w:t xml:space="preserve">Feedback can come verbally from other students and staff, it is your responsibility to write it down in this blog, at least half should be from staff. Show this blog to staff regularly to confirm you are filling in it appropriately. Warning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do not show assessed code to other students and ask for feedback, they could copy you. It’s OK to let them play it and offer feedback that way. It’s OK to show them non-assessed code, the tutorials, and get detailed feedback for that (which you can record here).</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