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第五章 数据库设计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5.1 数据库设计原则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本章围绕智能家居养老平台“健康管理、安全应急、生活照料、精神慰藉”四大核心功能，遵循以下设计原则构建数据库架构，确保数据存储的完整性、安全性、扩展性与性能适配性：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业务适配原则</w:t>
      </w:r>
      <w:r>
        <w:rPr>
          <w:rFonts w:eastAsia="等线" w:ascii="Arial" w:cs="Arial" w:hAnsi="Arial"/>
          <w:sz w:val="22"/>
        </w:rPr>
        <w:t>：精准覆盖全业务场景，实体与表结构严格对齐服务流程，支撑应急处置、服务预约结算、健康数据追溯等核心业务闭环，无冗余或缺失数据节点。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数据安全原则</w:t>
      </w:r>
      <w:r>
        <w:rPr>
          <w:rFonts w:eastAsia="等线" w:ascii="Arial" w:cs="Arial" w:hAnsi="Arial"/>
          <w:sz w:val="22"/>
        </w:rPr>
        <w:t>：采用隐私数据加密、逻辑删除、权限管控三重策略，契合养老场景下老人隐私保护、历史数据留存（如健康记录、财务流水）的核心需求，符合数据安全法规要求。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性能优化原则</w:t>
      </w:r>
      <w:r>
        <w:rPr>
          <w:rFonts w:eastAsia="等线" w:ascii="Arial" w:cs="Arial" w:hAnsi="Arial"/>
          <w:sz w:val="22"/>
        </w:rPr>
        <w:t>：通过索引设计、分表策略、冷热数据分离，适配万级并发用户、1000条/秒设备数据采集的高并发需求，保障海量数据场景下的查询与存储效率。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可扩展原则</w:t>
      </w:r>
      <w:r>
        <w:rPr>
          <w:rFonts w:eastAsia="等线" w:ascii="Arial" w:cs="Arial" w:hAnsi="Arial"/>
          <w:sz w:val="22"/>
        </w:rPr>
        <w:t>：预留第三方接口对接字段、个性化配置节点，支持智能设备迭代、服务模式拓展（如线上文娱、跨机构体检），适配平台长期运营与功能升级需求。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5.2 实体与关系设计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5.2.1 核心实体梳理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基于平台业务流程，梳理18类核心实体，覆盖用户、服务、设备、数据四大维度，补充此前缺失的精神慰藉、健康管理延伸场景实体，具体如下表所示：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实体类别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关联业务模块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老人（Elderly）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存储老人基础信息、健康状态、隐私数据（加密），为核心服务对象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全模块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监护人（Guardian）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存储老人家属/监护人信息，关联老人</w:t>
            </w:r>
            <w:r>
              <w:rPr>
                <w:rFonts w:eastAsia="等线" w:ascii="Arial" w:cs="Arial" w:hAnsi="Arial"/>
                <w:sz w:val="22"/>
              </w:rPr>
              <w:t>账号，接收预警、服务通知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安全应急、健康管理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服务人员（Service</w:t>
            </w:r>
            <w:r>
              <w:rPr>
                <w:rFonts w:eastAsia="等线" w:ascii="Arial" w:cs="Arial" w:hAnsi="Arial"/>
                <w:sz w:val="22"/>
              </w:rPr>
              <w:t>Staff）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存储护理员、社工等服务人员信息，</w:t>
            </w:r>
            <w:r>
              <w:rPr>
                <w:rFonts w:eastAsia="等线" w:ascii="Arial" w:cs="Arial" w:hAnsi="Arial"/>
                <w:sz w:val="22"/>
              </w:rPr>
              <w:t>关联服务订单与执行记录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生活照料、精神慰藉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系统用户（SystemUser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存储运营、监管人员账号信息，关联操作权限</w:t>
            </w:r>
            <w:r>
              <w:rPr>
                <w:rFonts w:eastAsia="等线" w:ascii="Arial" w:cs="Arial" w:hAnsi="Arial"/>
                <w:sz w:val="22"/>
              </w:rPr>
              <w:t>与审计日志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系统管理、权限管控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服务商（ServiceProvider）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存储入驻服务商信息、资质审核状态，</w:t>
            </w:r>
            <w:r>
              <w:rPr>
                <w:rFonts w:eastAsia="等线" w:ascii="Arial" w:cs="Arial" w:hAnsi="Arial"/>
                <w:sz w:val="22"/>
              </w:rPr>
              <w:t>关联服务订单与结算数据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服务管理、订单结算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服务项目（ServiceItem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存储标准化服务内容、价格、时长，为订单</w:t>
            </w:r>
            <w:r>
              <w:rPr>
                <w:rFonts w:eastAsia="等线" w:ascii="Arial" w:cs="Arial" w:hAnsi="Arial"/>
                <w:sz w:val="22"/>
              </w:rPr>
              <w:t>创建的基础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服务预约、订单管理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线下活动</w:t>
            </w:r>
            <w:r>
              <w:rPr>
                <w:rFonts w:eastAsia="等线" w:ascii="Arial" w:cs="Arial" w:hAnsi="Arial"/>
                <w:sz w:val="22"/>
              </w:rPr>
              <w:t>（OfflineActivity）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存储线下文娱、社交活动信息，</w:t>
            </w:r>
            <w:r>
              <w:rPr>
                <w:rFonts w:eastAsia="等线" w:ascii="Arial" w:cs="Arial" w:hAnsi="Arial"/>
                <w:sz w:val="22"/>
              </w:rPr>
              <w:t>关联报名与核销记录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精神慰藉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智能设备（SmartDevice）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存储设备基础信息、绑定状态、维护</w:t>
            </w:r>
            <w:r>
              <w:rPr>
                <w:rFonts w:eastAsia="等线" w:ascii="Arial" w:cs="Arial" w:hAnsi="Arial"/>
                <w:sz w:val="22"/>
              </w:rPr>
              <w:t>记录，采集健康与安全数据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健康管理、安全应急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设备阈值（Health</w:t>
            </w:r>
            <w:r>
              <w:rPr>
                <w:rFonts w:eastAsia="等线" w:ascii="Arial" w:cs="Arial" w:hAnsi="Arial"/>
                <w:sz w:val="22"/>
              </w:rPr>
              <w:t>Threshold）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存储个性化健康预警</w:t>
            </w:r>
            <w:r>
              <w:rPr>
                <w:rFonts w:eastAsia="等线" w:ascii="Arial" w:cs="Arial" w:hAnsi="Arial"/>
                <w:sz w:val="22"/>
              </w:rPr>
              <w:t>阈值，支撑差异化预警规则配置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健康管理、安全应急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线上课程（OnlineCourse）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存储线上兴趣班、健康讲座信息，关联报名与学习记录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精神慰藉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健康记录（HealthRecord）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存储多渠道采集的健康数据，关联设备与采集方式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健康管理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安全预警（SafetyAlert）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存储设备触发的安全预警信息，关联处置流程</w:t>
            </w:r>
            <w:r>
              <w:rPr>
                <w:rFonts w:eastAsia="等线" w:ascii="Arial" w:cs="Arial" w:hAnsi="Arial"/>
                <w:sz w:val="22"/>
              </w:rPr>
              <w:t>与服务人员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安全应急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服务订单（ServiceOrder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存储订单基础信息、状态流转，关联服务项目</w:t>
            </w:r>
            <w:r>
              <w:rPr>
                <w:rFonts w:eastAsia="等线" w:ascii="Arial" w:cs="Arial" w:hAnsi="Arial"/>
                <w:sz w:val="22"/>
              </w:rPr>
              <w:t>与结算数据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订单管理、服务结算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支付记录</w:t>
            </w:r>
            <w:r>
              <w:rPr>
                <w:rFonts w:eastAsia="等线" w:ascii="Arial" w:cs="Arial" w:hAnsi="Arial"/>
                <w:sz w:val="22"/>
              </w:rPr>
              <w:t>（PaymentRecord）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存储订单支付、退款信息，关联</w:t>
            </w:r>
            <w:r>
              <w:rPr>
                <w:rFonts w:eastAsia="等线" w:ascii="Arial" w:cs="Arial" w:hAnsi="Arial"/>
                <w:sz w:val="22"/>
              </w:rPr>
              <w:t>第三方支付流水，支撑对账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订单结算、财务管控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服务评价（ServiceEvaluation）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存储老人/监护人对服务的评价，关联订单</w:t>
            </w:r>
            <w:r>
              <w:rPr>
                <w:rFonts w:eastAsia="等线" w:ascii="Arial" w:cs="Arial" w:hAnsi="Arial"/>
                <w:sz w:val="22"/>
              </w:rPr>
              <w:t>与服务人员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服务管理、质量管控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用药提醒</w:t>
            </w:r>
            <w:r>
              <w:rPr>
                <w:rFonts w:eastAsia="等线" w:ascii="Arial" w:cs="Arial" w:hAnsi="Arial"/>
                <w:sz w:val="22"/>
              </w:rPr>
              <w:t>（MedicationReminder）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存储慢病用药提醒信息，</w:t>
            </w:r>
            <w:r>
              <w:rPr>
                <w:rFonts w:eastAsia="等线" w:ascii="Arial" w:cs="Arial" w:hAnsi="Arial"/>
                <w:sz w:val="22"/>
              </w:rPr>
              <w:t>关联服药确认状态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健康管理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体检预约（Physical</w:t>
            </w:r>
            <w:r>
              <w:rPr>
                <w:rFonts w:eastAsia="等线" w:ascii="Arial" w:cs="Arial" w:hAnsi="Arial"/>
                <w:sz w:val="22"/>
              </w:rPr>
              <w:t>ExamReservation）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存储体检预约</w:t>
            </w:r>
            <w:r>
              <w:rPr>
                <w:rFonts w:eastAsia="等线" w:ascii="Arial" w:cs="Arial" w:hAnsi="Arial"/>
                <w:sz w:val="22"/>
              </w:rPr>
              <w:t>信息、报告状态，关联第三方体检机构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健康管理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系统日志（SystemLog）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存储系统操作记录，关联操作人员与权限，支撑</w:t>
            </w:r>
            <w:r>
              <w:rPr>
                <w:rFonts w:eastAsia="等线" w:ascii="Arial" w:cs="Arial" w:hAnsi="Arial"/>
                <w:sz w:val="22"/>
              </w:rPr>
              <w:t>审计追溯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系统管理、安全管控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5.2.2 实体关系定义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基于业务逻辑，定义1:1、1:N、N:M三类实体关系，通过中间表优化N:M关系，消除数据冗余，同时采用“物理外键+逻辑删除”策略，保障数据完整性与历史数据留存，具体关系如下：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1:1关系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适用于一对一绑定、数据精准关联场景，确保信息唯一性与可追溯性：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服务订单（ServiceOrder）与支付记录（PaymentRecord）：一个订单对应一条支付记录，支撑订单结算与对账闭环，关联字段为order_id。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服务订单（ServiceOrder）与服务评价（ServiceEvaluation）：一个订单对应一条评价，仅订单完成后可创建，关联字段为order_id。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系统用户（SystemUser）与角色（Role）：一个用户对应一个核心角色，明确操作权限范围，关联字段为role_id。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1:N关系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适用于主实体关联多个从实体场景，支撑数据批量关联与管理：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老人（Elderly）与健康记录（HealthRecord）：一位老人对应多条健康记录，关联字段为elderly_id，支撑个人健康数据追溯。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老人（Elderly）与智能设备（SmartDevice）：一位老人可绑定多台智能设备，关联字段为elderly_id，支持设备换绑与数据汇总。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服务商（ServiceProvider）与服务项目（ServiceItem）：一个服务商可提供多项服务，关联字段为provider_id，支撑服务资源分类管理。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安全预警（SafetyAlert）与服务人员（ServiceStaff）：一条预警可分配多位服务人员处置，关联字段为alert_id，支撑协同应急。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N:M关系（中间表优化）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通过中间表拆解多对多关系，避免数据冗余，提升关系灵活性：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老人（Elderly）与监护人（Guardian）：新增中间表t_elderly_guardian，关联双方ID，支持一位老人对应多位监护人、一位监护人关联多位老人。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服务订单（ServiceOrder）与服务人员（ServiceStaff）：新增中间表t_order_staff，关联双方ID，支持多人协作完成同一订单服务。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老人（Elderly）与线上课程（OnlineCourse）：新增中间表t_elderly_course，关联双方ID，记录报名状态与学习进度，支持一人报名多门课程。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老人（Elderly）与线下活动（OfflineActivity）：新增中间表t_activity_enrollment，关联双方ID，记录报名与签到状态，支撑活动核销管理。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老人（Elderly）与慢病类型：新增中间表t_elderly_chronic，关联elderly_id与chronic_type，支持一位老人记录多种慢病类型。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5.3 表结构设计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实体关系设计，细化各核心表字段、类型、约束与索引，优化冗余字段与逻辑设计，补充缺失表结构，确保适配全业务场景与数据安全需求。核心表结构如下（仅列关键字段，通用字段如id、create_time、update_time、is_deleted默认包含）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5.3.1 用户维度核心表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t_elderly（老人表）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elderly_id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老人唯一标识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</w:t>
            </w:r>
            <w:r>
              <w:rPr>
                <w:rFonts w:eastAsia="等线" w:ascii="Arial" w:cs="Arial" w:hAnsi="Arial"/>
                <w:sz w:val="22"/>
              </w:rPr>
              <w:t xml:space="preserve">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老人姓名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id_card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NULL、AES加密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身份证号，隐私加密存储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AES加密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老人手机号，隐私加密存储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</w:t>
            </w:r>
            <w:r>
              <w:rPr>
                <w:rFonts w:eastAsia="等线" w:ascii="Arial" w:cs="Arial" w:hAnsi="Arial"/>
                <w:sz w:val="22"/>
              </w:rPr>
              <w:t xml:space="preserve"> NULL、枚举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健康状态（0-健康、1</w:t>
            </w:r>
            <w:r>
              <w:rPr>
                <w:rFonts w:eastAsia="等线" w:ascii="Arial" w:cs="Arial" w:hAnsi="Arial"/>
                <w:sz w:val="22"/>
              </w:rPr>
              <w:t>-慢病、2-失能）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backup_flag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备份标记（0-未备份、</w:t>
            </w:r>
            <w:r>
              <w:rPr>
                <w:rFonts w:eastAsia="等线" w:ascii="Arial" w:cs="Arial" w:hAnsi="Arial"/>
                <w:sz w:val="22"/>
              </w:rPr>
              <w:t>1-已备份），避免重复备份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t_elderly_chronic（老人慢病关联表）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</w:t>
            </w:r>
            <w:r>
              <w:rPr>
                <w:rFonts w:eastAsia="等线" w:ascii="Arial" w:cs="Arial" w:hAnsi="Arial"/>
                <w:sz w:val="22"/>
              </w:rPr>
              <w:t>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elderly_id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关联老人表主键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</w:t>
            </w:r>
            <w:r>
              <w:rPr>
                <w:rFonts w:eastAsia="等线" w:ascii="Arial" w:cs="Arial" w:hAnsi="Arial"/>
                <w:sz w:val="22"/>
              </w:rPr>
              <w:t xml:space="preserve">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慢病类型（如高血压、糖尿病）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5.3.2 设备与健康数据核心表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t_smart_device（智能设备表）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NULL、唯一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设备硬件编码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设备类型（如血压计、红外探测器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elder</w:t>
            </w:r>
            <w:r>
              <w:rPr>
                <w:rFonts w:eastAsia="等线" w:ascii="Arial" w:cs="Arial" w:hAnsi="Arial"/>
                <w:sz w:val="22"/>
              </w:rPr>
              <w:t>ly_id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关联老人ID，支持设备换</w:t>
            </w:r>
            <w:r>
              <w:rPr>
                <w:rFonts w:eastAsia="等线" w:ascii="Arial" w:cs="Arial" w:hAnsi="Arial"/>
                <w:sz w:val="22"/>
              </w:rPr>
              <w:t>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</w:t>
            </w:r>
            <w:r>
              <w:rPr>
                <w:rFonts w:eastAsia="等线" w:ascii="Arial" w:cs="Arial" w:hAnsi="Arial"/>
                <w:sz w:val="22"/>
              </w:rPr>
              <w:t>_brand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设备品牌，支撑维护排查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device_model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设备型号，适配固件升级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maintenance_time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上次维护时间，提醒定期检修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推送状态（0-关闭、1-开启）</w:t>
            </w:r>
            <w:r>
              <w:rPr>
                <w:rFonts w:eastAsia="等线" w:ascii="Arial" w:cs="Arial" w:hAnsi="Arial"/>
                <w:sz w:val="22"/>
              </w:rPr>
              <w:t>，支持个性化设置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t_health_record（健康记录表）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elderly_id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关联老人ID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关联采集设备ID，手动录入时为空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数据采集时间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记录类型（如血压、血糖）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采集方式（0-智能设备、1-手动录入）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数据来源（设备/手动/医院同步），适配诊疗数据对接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systolic_bp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收缩压，仅血压类型记录填写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diastolic_bp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舒张压，仅血压类型记录填写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blood_sugar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DECIMAL(5,2)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血糖值，完善老人健康档案数据维度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backup_flag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备份标记，保障健康数据安全留存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索引设计</w:t>
      </w:r>
      <w:r>
        <w:rPr>
          <w:rFonts w:eastAsia="等线" w:ascii="Arial" w:cs="Arial" w:hAnsi="Arial"/>
          <w:sz w:val="22"/>
        </w:rPr>
        <w:t>：新增复合索引（elderly_id+collect_time+record_type），优化老人健康数据按时间范围、类型查询的效率；新增单字段索引（data_source），适配医院同步数据批量查询场景。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t_safety_alert（安全预警记录表）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elderly_id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关联老人ID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关联触发预警的设备ID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预警类型（如跌倒、血压异常）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预警触发时间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服务商接单时间，用于计算15分钟响应时长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urge_count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子女一键催促次数，用于服务商考核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处理人ID，逻辑关联服务商/运营人员账号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handler_role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NULL、枚举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处理人角色（服务商/运营），明确责任主体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alert_lng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预警地点经度，精准定位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alert_lat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预警地点纬度，精准定位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alert_address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预警地点文字描述，便于展示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预警状态（0-未处理、1-处理中、2-已完成）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emergency_order_id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急救系统订单号，对接第三方急救接口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索引设计</w:t>
      </w:r>
      <w:r>
        <w:rPr>
          <w:rFonts w:eastAsia="等线" w:ascii="Arial" w:cs="Arial" w:hAnsi="Arial"/>
          <w:sz w:val="22"/>
        </w:rPr>
        <w:t>：新增复合索引（alert_time+alert_status），优化应急处置中“按时间查询未处理预警”的高频操作效率；新增单字段索引（emergency_order_id），适配急救系统数据同步查询。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5.3.3 服务与订单核心表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t_service_order（服务订单表）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</w:t>
            </w:r>
            <w:r>
              <w:rPr>
                <w:rFonts w:eastAsia="等线" w:ascii="Arial" w:cs="Arial" w:hAnsi="Arial"/>
                <w:sz w:val="22"/>
              </w:rPr>
              <w:t>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elderly_id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关联老人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</w:t>
            </w:r>
            <w:r>
              <w:rPr>
                <w:rFonts w:eastAsia="等线" w:ascii="Arial" w:cs="Arial" w:hAnsi="Arial"/>
                <w:sz w:val="22"/>
              </w:rPr>
              <w:t>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关联服务商ID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service_item_id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关联服务项目ID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订单金额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约定服务时间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NULL、枚举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订单状态（0-待支付、1-待接单、2-服务中、3-</w:t>
            </w:r>
            <w:r>
              <w:rPr>
                <w:rFonts w:eastAsia="等线" w:ascii="Arial" w:cs="Arial" w:hAnsi="Arial"/>
                <w:sz w:val="22"/>
              </w:rPr>
              <w:t>已完成、4-已取消、5-退款中、6-已退款）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索引设计</w:t>
      </w:r>
      <w:r>
        <w:rPr>
          <w:rFonts w:eastAsia="等线" w:ascii="Arial" w:cs="Arial" w:hAnsi="Arial"/>
          <w:sz w:val="22"/>
        </w:rPr>
        <w:t>：新增复合索引（provider_id+order_status+service_time），支撑服务商查询待接单订单、按时间统计服务量的需求；新增单字段索引（elderly_id+order_status），优化老人订单追溯效率。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t_payment_record（支付记录表）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</w:t>
            </w:r>
            <w:r>
              <w:rPr>
                <w:rFonts w:eastAsia="等线" w:ascii="Arial" w:cs="Arial" w:hAnsi="Arial"/>
                <w:sz w:val="22"/>
              </w:rPr>
              <w:t>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支付记录唯一标识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NULL、唯一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关联服务订单ID，1:1对应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支付金额，与订单金额一致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支付状态（0-未支付、1-已支付）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transaction_id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第三方支付流水号，支撑对账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refund_flag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退款标记（0-未退款、</w:t>
            </w:r>
            <w:r>
              <w:rPr>
                <w:rFonts w:eastAsia="等线" w:ascii="Arial" w:cs="Arial" w:hAnsi="Arial"/>
                <w:sz w:val="22"/>
              </w:rPr>
              <w:t>1-已退款）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refund_time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退款时间，仅退款</w:t>
            </w:r>
            <w:r>
              <w:rPr>
                <w:rFonts w:eastAsia="等线" w:ascii="Arial" w:cs="Arial" w:hAnsi="Arial"/>
                <w:sz w:val="22"/>
              </w:rPr>
              <w:t>时填写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5.3.4 权限与审计核心表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t_role（角色表）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NULL、唯一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角色名称（如</w:t>
            </w:r>
            <w:r>
              <w:rPr>
                <w:rFonts w:eastAsia="等线" w:ascii="Arial" w:cs="Arial" w:hAnsi="Arial"/>
                <w:sz w:val="22"/>
              </w:rPr>
              <w:t>运营人员、监管人员、服务商）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role_desc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角色权限描述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t_role_permission（角色权限关联表）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关联角色表主键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权限编码（如order:query、elderly:edit）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t_service_provider（服务商表）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NULL、唯一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license_code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NULL、唯一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资质许可证号，用于资质审核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contact_person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联系人姓名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contact_phone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NULL、AES加密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联系人手机号，隐私加密存储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服务商办公地址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NULL、枚举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审核状态（0-待审核、1-已通过、2-已驳回）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service_scope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服务范围（如生活照料、应急救援）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DECIMAL(3,2)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5.00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服务商综合评分，用于考核评级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t_service_staff（服务人员表）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服务人员唯一标识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服务人员姓名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关联所属服务商ID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NULL、AES加密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服务人员手机号，隐私加密存储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certificate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职业资格证书编号（如护理证）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NULL、枚举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工作状态（0-休息、1-在岗、2-请假）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t_service_evaluation（服务评价表）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evaluation_id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NULL、唯一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关联服务订单ID，1:1对应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elderly_id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评价人（老人/监护人）ID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star_level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星级评分（1-5分），支撑“先评价后支付”逻辑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evaluation_content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评价内容，支持长文本描述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proof_photos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照片凭证，存储阿里云OSS链接（多链接用逗号分隔），TEXT类型避免字符溢出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evaluation_time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评价提交时间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t_health_threshold（健康阈值表）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threshold_id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PK、UUID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elderly_id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FK、NOT NULL、唯一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关联老人ID，一人一套个性化阈值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sys_bp_max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收缩压上限阈值（默认140）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sys_bp_min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收缩压下限阈值（默认90）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dia_bp_max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舒张压上限阈值（默认90）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dia_bp_min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舒张压下限阈值（默认60）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heart_rate_max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心率上限阈值（默认100）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heart_rate_min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心率下限阈值（默认60）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blood_sugar_max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DECIMAL(5,2)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血糖上限阈值（默认7.0）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blood_sugar_min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DECIMAL(5,2)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血糖下限阈值（默认3.9）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阈值更新时间，同步至Redis缓存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5.4 数据库性能与安全设计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5.4.1 性能优化设计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1. 分表与数据存储策略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按时间分表策略，对高频写入、海量存储的表进行拆分：健康记录表（t_health_record）、安全预警表（t_safety_alert）按年度分表（如t_health_record_2026），历史数据（超过1年）迁移至冷存储，当前数据留存热存储；分表路由通过中间件实现，按collect_time/alert_time自动路由至对应分表，提升查询与写入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同时，对t_health_threshold（健康阈值表）采用Redis缓存机制，将高频访问的阈值数据加载至缓存，减少数据库查询压力，缓存更新策略为“修改后主动更新+定时同步”，确保数据一致性。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 索引优化补充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在核心表现有索引基础上，补充以下索引，适配高频业务场景：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t_system_log（系统日志表）：新增复合索引（operate_time+operator_id），优化特定人员操作记录追溯效率。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t_physical_exam_reservation（体检预约表）：新增复合索引（elderly_id+reservation_time），优化老人体检预约查询。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t_online_course（线上课程表）：新增单字段索引（course_type），优化课程分类查询。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5.4.2 安全设计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1. 隐私数据保护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身份证号、手机号、银行卡号等敏感数据，采用AES加密算法存储，加密密钥定期轮换（每季度一次），密钥存储于独立密钥管理系统，避免与数据库同库存储；健康数据按权限分级管控，子女仅可查看本人父母数据，监管人员需申请授权后查看，运营人员无敏感数据查看权限，通过t_role_permission表精准控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 数据备份与恢复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每日增量备份+每周全量备份”策略，备份文件异地存储（主备机房距离≥50公里），备份完成后通过backup_flag字段标记，避免重复备份或遗漏；故障恢复时，优先通过增量备份恢复至最近时间点，配合全量备份补全数据，确保故障恢复时间≤1小时，核心数据（健康记录、订单流水）备份留存时间≥3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 操作审计与异常监控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system_log表全面记录系统操作，包含操作人员、操作时间、操作内容、IP地址、操作结果，支撑操作追溯；新增异常登录预警机制，对同一账号多次密码错误、异地登录等场景触发预警，记录至系统日志并通知管理员，防范账号被盗风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5.5 数据库扩展性设计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5.5.1 第三方接口对接适配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核心表中预留第三方接口关联字段，支撑后续对接拓展：除已新增的emergency_order_id（急救系统）、third_party_org_id（体检机构）、transaction_id（第三方支付）外，可在t_smart_device表新增third_party_device_id（第三方设备平台ID），适配多厂商设备接入；在t_health_record表新增third_party_sync_id（医院同步标识），确保诊疗数据同步一致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5.5.2 功能拓展适配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服务模式拓展空间，如新增“上门体检”服务时，可复用t_physical_exam_reservation表，通过third_party_org_id关联体检机构，无需新增核心表；支持设备类型迭代，t_smart_device表通过device_type字段适配新增设备（如智能床垫、心电监测仪），仅需扩展record_type字段枚举值，无需修改表结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5.6 本章小结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本章基于智能家居养老平台核心业务，完成了实体关系、表结构、性能安全及扩展性的全维度数据库设计，重点补充了应急处置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的数据库设计，既保障了数据存储的完整性、安全性与性能，又适配平台当前核心功能与未来拓展需求，能有效支撑健康管理、安全应急、生活照料、精神慰藉四大模块的业务落地，为平台稳定运行提供坚实的数据支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0435">
    <w:lvl>
      <w:numFmt w:val="bullet"/>
      <w:suff w:val="tab"/>
      <w:lvlText w:val="•"/>
      <w:rPr>
        <w:color w:val="3370ff"/>
      </w:rPr>
    </w:lvl>
  </w:abstractNum>
  <w:abstractNum w:abstractNumId="580436">
    <w:lvl>
      <w:numFmt w:val="bullet"/>
      <w:suff w:val="tab"/>
      <w:lvlText w:val="•"/>
      <w:rPr>
        <w:color w:val="3370ff"/>
      </w:rPr>
    </w:lvl>
  </w:abstractNum>
  <w:abstractNum w:abstractNumId="580437">
    <w:lvl>
      <w:numFmt w:val="bullet"/>
      <w:suff w:val="tab"/>
      <w:lvlText w:val="•"/>
      <w:rPr>
        <w:color w:val="3370ff"/>
      </w:rPr>
    </w:lvl>
  </w:abstractNum>
  <w:abstractNum w:abstractNumId="580438">
    <w:lvl>
      <w:numFmt w:val="bullet"/>
      <w:suff w:val="tab"/>
      <w:lvlText w:val="•"/>
      <w:rPr>
        <w:color w:val="3370ff"/>
      </w:rPr>
    </w:lvl>
  </w:abstractNum>
  <w:abstractNum w:abstractNumId="580439">
    <w:lvl>
      <w:numFmt w:val="bullet"/>
      <w:suff w:val="tab"/>
      <w:lvlText w:val="•"/>
      <w:rPr>
        <w:color w:val="3370ff"/>
      </w:rPr>
    </w:lvl>
  </w:abstractNum>
  <w:abstractNum w:abstractNumId="580440">
    <w:lvl>
      <w:numFmt w:val="bullet"/>
      <w:suff w:val="tab"/>
      <w:lvlText w:val="•"/>
      <w:rPr>
        <w:color w:val="3370ff"/>
      </w:rPr>
    </w:lvl>
  </w:abstractNum>
  <w:abstractNum w:abstractNumId="580441">
    <w:lvl>
      <w:numFmt w:val="bullet"/>
      <w:suff w:val="tab"/>
      <w:lvlText w:val="•"/>
      <w:rPr>
        <w:color w:val="3370ff"/>
      </w:rPr>
    </w:lvl>
  </w:abstractNum>
  <w:abstractNum w:abstractNumId="580442">
    <w:lvl>
      <w:numFmt w:val="bullet"/>
      <w:suff w:val="tab"/>
      <w:lvlText w:val="•"/>
      <w:rPr>
        <w:color w:val="3370ff"/>
      </w:rPr>
    </w:lvl>
  </w:abstractNum>
  <w:abstractNum w:abstractNumId="580443">
    <w:lvl>
      <w:numFmt w:val="bullet"/>
      <w:suff w:val="tab"/>
      <w:lvlText w:val="•"/>
      <w:rPr>
        <w:color w:val="3370ff"/>
      </w:rPr>
    </w:lvl>
  </w:abstractNum>
  <w:abstractNum w:abstractNumId="580444">
    <w:lvl>
      <w:numFmt w:val="bullet"/>
      <w:suff w:val="tab"/>
      <w:lvlText w:val="•"/>
      <w:rPr>
        <w:color w:val="3370ff"/>
      </w:rPr>
    </w:lvl>
  </w:abstractNum>
  <w:abstractNum w:abstractNumId="580445">
    <w:lvl>
      <w:numFmt w:val="bullet"/>
      <w:suff w:val="tab"/>
      <w:lvlText w:val="•"/>
      <w:rPr>
        <w:color w:val="3370ff"/>
      </w:rPr>
    </w:lvl>
  </w:abstractNum>
  <w:abstractNum w:abstractNumId="580446">
    <w:lvl>
      <w:numFmt w:val="bullet"/>
      <w:suff w:val="tab"/>
      <w:lvlText w:val="•"/>
      <w:rPr>
        <w:color w:val="3370ff"/>
      </w:rPr>
    </w:lvl>
  </w:abstractNum>
  <w:abstractNum w:abstractNumId="580447">
    <w:lvl>
      <w:numFmt w:val="bullet"/>
      <w:suff w:val="tab"/>
      <w:lvlText w:val="•"/>
      <w:rPr>
        <w:color w:val="3370ff"/>
      </w:rPr>
    </w:lvl>
  </w:abstractNum>
  <w:abstractNum w:abstractNumId="580448">
    <w:lvl>
      <w:numFmt w:val="bullet"/>
      <w:suff w:val="tab"/>
      <w:lvlText w:val="•"/>
      <w:rPr>
        <w:color w:val="3370ff"/>
      </w:rPr>
    </w:lvl>
  </w:abstractNum>
  <w:abstractNum w:abstractNumId="580449">
    <w:lvl>
      <w:numFmt w:val="bullet"/>
      <w:suff w:val="tab"/>
      <w:lvlText w:val="•"/>
      <w:rPr>
        <w:color w:val="3370ff"/>
      </w:rPr>
    </w:lvl>
  </w:abstractNum>
  <w:abstractNum w:abstractNumId="580450">
    <w:lvl>
      <w:numFmt w:val="bullet"/>
      <w:suff w:val="tab"/>
      <w:lvlText w:val="•"/>
      <w:rPr>
        <w:color w:val="3370ff"/>
      </w:rPr>
    </w:lvl>
  </w:abstractNum>
  <w:abstractNum w:abstractNumId="580451">
    <w:lvl>
      <w:numFmt w:val="bullet"/>
      <w:suff w:val="tab"/>
      <w:lvlText w:val="•"/>
      <w:rPr>
        <w:color w:val="3370ff"/>
      </w:rPr>
    </w:lvl>
  </w:abstractNum>
  <w:abstractNum w:abstractNumId="580452">
    <w:lvl>
      <w:numFmt w:val="bullet"/>
      <w:suff w:val="tab"/>
      <w:lvlText w:val="•"/>
      <w:rPr>
        <w:color w:val="3370ff"/>
      </w:rPr>
    </w:lvl>
  </w:abstractNum>
  <w:abstractNum w:abstractNumId="580453">
    <w:lvl>
      <w:numFmt w:val="bullet"/>
      <w:suff w:val="tab"/>
      <w:lvlText w:val="•"/>
      <w:rPr>
        <w:color w:val="3370ff"/>
      </w:rPr>
    </w:lvl>
  </w:abstractNum>
  <w:num w:numId="1">
    <w:abstractNumId w:val="580435"/>
  </w:num>
  <w:num w:numId="2">
    <w:abstractNumId w:val="580436"/>
  </w:num>
  <w:num w:numId="3">
    <w:abstractNumId w:val="580437"/>
  </w:num>
  <w:num w:numId="4">
    <w:abstractNumId w:val="580438"/>
  </w:num>
  <w:num w:numId="5">
    <w:abstractNumId w:val="580439"/>
  </w:num>
  <w:num w:numId="6">
    <w:abstractNumId w:val="580440"/>
  </w:num>
  <w:num w:numId="7">
    <w:abstractNumId w:val="580441"/>
  </w:num>
  <w:num w:numId="8">
    <w:abstractNumId w:val="580442"/>
  </w:num>
  <w:num w:numId="9">
    <w:abstractNumId w:val="580443"/>
  </w:num>
  <w:num w:numId="10">
    <w:abstractNumId w:val="580444"/>
  </w:num>
  <w:num w:numId="11">
    <w:abstractNumId w:val="580445"/>
  </w:num>
  <w:num w:numId="12">
    <w:abstractNumId w:val="580446"/>
  </w:num>
  <w:num w:numId="13">
    <w:abstractNumId w:val="580447"/>
  </w:num>
  <w:num w:numId="14">
    <w:abstractNumId w:val="580448"/>
  </w:num>
  <w:num w:numId="15">
    <w:abstractNumId w:val="580449"/>
  </w:num>
  <w:num w:numId="16">
    <w:abstractNumId w:val="580450"/>
  </w:num>
  <w:num w:numId="17">
    <w:abstractNumId w:val="580451"/>
  </w:num>
  <w:num w:numId="18">
    <w:abstractNumId w:val="580452"/>
  </w:num>
  <w:num w:numId="19">
    <w:abstractNumId w:val="5804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2026-01-27T05:33:51Z</dcterms:created>
  <dc:creator>Apache POI</dc:creator>
</cp:coreProperties>
</file>