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Identification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ENT-AE-2811</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Generated On</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07 May 2026</w:t>
            </w:r>
          </w:p>
        </w:tc>
      </w:tr>
    </w:tbl>
    <w:p>
      <w:pPr>
        <w:spacing w:before="360" w:after="120"/>
      </w:pPr>
      <w:r>
        <w:rPr>
          <w:rFonts w:ascii="Arial" w:hAnsi="Arial"/>
          <w:rFonts w:ascii="Arial" w:hAnsi="Arial" w:cs="Arial"/>
          <w:b/>
          <w:i w:val="0"/>
          <w:color w:val="0A2342"/>
          <w:sz w:val="28"/>
        </w:rPr>
        <w:t>B. Assets Under Custody (AUC)</w:t>
      </w:r>
    </w:p>
    <w:p>
      <w:pPr>
        <w:spacing w:before="0" w:after="120"/>
      </w:pPr>
      <w:r>
        <w:rPr>
          <w:rFonts w:ascii="Arial" w:hAnsi="Arial"/>
          <w:rFonts w:ascii="Arial" w:hAnsi="Arial" w:cs="Arial"/>
          <w:b w:val="0"/>
          <w:i w:val="0"/>
          <w:color w:val="4A5568"/>
          <w:sz w:val="18"/>
        </w:rPr>
        <w:t>AUC = Spendable + Staked + Vesting balance across all vaults. Excludes lent assets and borrowed liabilities.</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Snapshot</w:t>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pacing w:before="360" w:after="120"/>
      </w:pPr>
      <w:r>
        <w:rPr>
          <w:rFonts w:ascii="Arial" w:hAnsi="Arial"/>
          <w:rFonts w:ascii="Arial" w:hAnsi="Arial" w:cs="Arial"/>
          <w:b/>
          <w:i w:val="0"/>
          <w:color w:val="0A2342"/>
          <w:sz w:val="28"/>
        </w:rPr>
        <w:t>C. Pending Items</w:t>
      </w:r>
    </w:p>
    <w:p>
      <w:pPr>
        <w:spacing w:before="0" w:after="120"/>
      </w:pPr>
      <w:r>
        <w:rPr>
          <w:rFonts w:ascii="Arial" w:hAnsi="Arial"/>
          <w:rFonts w:ascii="Arial" w:hAnsi="Arial" w:cs="Arial"/>
          <w:b w:val="0"/>
          <w:i w:val="0"/>
          <w:color w:val="4A5568"/>
          <w:sz w:val="18"/>
        </w:rPr>
        <w:t>Open items at end of period: travel-rule declarations awaiting client action.</w:t>
      </w:r>
    </w:p>
    <w:tbl>
      <w:tblPr>
        <w:tblW w:type="auto" w:w="0"/>
        <w:jc w:val="left"/>
        <w:tblLayout w:type="fixed"/>
        <w:tblLook w:firstColumn="1" w:firstRow="1" w:lastColumn="0" w:lastRow="0" w:noHBand="0" w:noVBand="1" w:val="04A0"/>
      </w:tblPr>
      <w:tblGrid>
        <w:gridCol w:w="1587"/>
        <w:gridCol w:w="1814"/>
        <w:gridCol w:w="6463"/>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Topic</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Status</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Summary</w:t>
            </w:r>
          </w:p>
        </w:tc>
      </w:tr>
      <w:tr>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Travel Rule</w:t>
            </w:r>
          </w:p>
        </w:tc>
        <w:tc>
          <w:tcPr>
            <w:tcW w:type="dxa" w:w="1814"/>
            <w:shd w:val="clear" w:color="auto" w:fill="FEF3C7"/>
            <w:tcBorders>
              <w:bottom w:val="single" w:sz="4" w:color="D0D5DD"/>
            </w:tcBorders>
            <w:vAlign w:val="center"/>
          </w:tcPr>
          <w:p>
            <w:pPr>
              <w:spacing w:before="40" w:after="40"/>
            </w:pPr>
            <w:r>
              <w:rPr>
                <w:rFonts w:ascii="Arial" w:hAnsi="Arial"/>
                <w:rFonts w:ascii="Arial" w:hAnsi="Arial" w:cs="Arial"/>
                <w:b/>
                <w:i w:val="0"/>
                <w:color w:val="B45309"/>
                <w:sz w:val="17"/>
              </w:rPr>
              <w:t>● Action required</w:t>
            </w:r>
          </w:p>
        </w:tc>
        <w:tc>
          <w:tcPr>
            <w:tcW w:type="dxa" w:w="6463"/>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3 transaction(s) totalling $1,938,386.97 are flagged 'Travel Rule declaration pending'. Please resolve via the client portal.</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Custody (Detailed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Enterprise-rolled-up balances, NFTs, and staking (Sections A-C) reconcile to the sum of the per-vault tables (Section D).</w:t>
      </w:r>
    </w:p>
    <w:p>
      <w:pPr>
        <w:spacing w:before="360" w:after="120"/>
      </w:pPr>
      <w:r>
        <w:rPr>
          <w:rFonts w:ascii="Arial" w:hAnsi="Arial"/>
          <w:rFonts w:ascii="Arial" w:hAnsi="Arial" w:cs="Arial"/>
          <w:b/>
          <w:i w:val="0"/>
          <w:color w:val="0A2342"/>
          <w:sz w:val="28"/>
        </w:rPr>
        <w:t>A. Opening &amp; Closing Balances per Asset (Enterprise-rolled-up)</w:t>
      </w:r>
    </w:p>
    <w:tbl>
      <w:tblPr>
        <w:tblW w:type="auto" w:w="0"/>
        <w:jc w:val="left"/>
        <w:tblLayout w:type="fixed"/>
        <w:tblLook w:firstColumn="1" w:firstRow="1" w:lastColumn="0" w:lastRow="0" w:noHBand="0" w:noVBand="1" w:val="04A0"/>
      </w:tblPr>
      <w:tblGrid>
        <w:gridCol w:w="907"/>
        <w:gridCol w:w="1701"/>
        <w:gridCol w:w="1587"/>
        <w:gridCol w:w="1417"/>
        <w:gridCol w:w="1587"/>
        <w:gridCol w:w="1417"/>
        <w:gridCol w:w="124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Fiat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Fiat</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Fiat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B91C1C"/>
                <w:sz w:val="15"/>
              </w:rPr>
              <w:t>-$165,866.46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+$45,585.23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+$33,872.24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+$4.31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+$113.01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-$163,125.36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B91C1C"/>
                <w:sz w:val="15"/>
              </w:rPr>
              <w:t>-$38.04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+$3,476.84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+$2.87</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-$245,024.85</w:t>
            </w:r>
          </w:p>
        </w:tc>
      </w:tr>
    </w:tbl>
    <w:p>
      <w:pPr>
        <w:spacing w:before="360" w:after="120"/>
      </w:pPr>
      <w:r>
        <w:rPr>
          <w:rFonts w:ascii="Arial" w:hAnsi="Arial"/>
          <w:rFonts w:ascii="Arial" w:hAnsi="Arial" w:cs="Arial"/>
          <w:b/>
          <w:i w:val="0"/>
          <w:color w:val="0A2342"/>
          <w:sz w:val="28"/>
        </w:rPr>
        <w:t>B. NFT Balance (Enterprise-rolled-up)</w:t>
      </w:r>
    </w:p>
    <w:p>
      <w:pPr>
        <w:spacing w:before="0" w:after="120"/>
      </w:pPr>
      <w:r>
        <w:rPr>
          <w:rFonts w:ascii="Arial" w:hAnsi="Arial"/>
          <w:rFonts w:ascii="Arial" w:hAnsi="Arial" w:cs="Arial"/>
          <w:b w:val="0"/>
          <w:i w:val="0"/>
          <w:color w:val="4A5568"/>
          <w:sz w:val="18"/>
        </w:rPr>
        <w:t>Aggregate NFT holdings across all vaults at end of period. Per-vault NFT detail is shown inside each vault block in Section D.</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 (Enterprise-rolled-up)</w:t>
      </w:r>
    </w:p>
    <w:p>
      <w:pPr>
        <w:spacing w:before="0" w:after="120"/>
      </w:pPr>
      <w:r>
        <w:rPr>
          <w:rFonts w:ascii="Arial" w:hAnsi="Arial"/>
          <w:rFonts w:ascii="Arial" w:hAnsi="Arial" w:cs="Arial"/>
          <w:b w:val="0"/>
          <w:i w:val="0"/>
          <w:color w:val="4A5568"/>
          <w:sz w:val="18"/>
        </w:rPr>
        <w:t>Aggregate staking position across all vaults at end of period. Per-vault staking detail and individual staking transactions are shown inside each vault block in Section D.</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Fiat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bl>
    <w:p>
      <w:pPr>
        <w:spacing w:before="160" w:after="60"/>
      </w:pPr>
      <w:r>
        <w:rPr>
          <w:rFonts w:ascii="Arial" w:hAnsi="Arial"/>
          <w:rFonts w:ascii="Arial" w:hAnsi="Arial" w:cs="Arial"/>
          <w:b/>
          <w:i w:val="0"/>
          <w:color w:val="0F2A4D"/>
          <w:sz w:val="20"/>
        </w:rPr>
        <w:t>Rewards &amp; lifecycle</w:t>
      </w:r>
    </w:p>
    <w:tbl>
      <w:tblPr>
        <w:tblW w:type="auto" w:w="0"/>
        <w:jc w:val="left"/>
        <w:tblLayout w:type="fixed"/>
        <w:tblLook w:firstColumn="1" w:firstRow="1" w:lastColumn="0" w:lastRow="0" w:noHBand="0" w:noVBand="1" w:val="04A0"/>
      </w:tblPr>
      <w:tblGrid>
        <w:gridCol w:w="907"/>
        <w:gridCol w:w="2494"/>
        <w:gridCol w:w="2041"/>
        <w:gridCol w:w="2381"/>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4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Claimed (period)</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Claimable (at period end)</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Commission (period)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49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br/>
              <w:t>$1,902.92</w:t>
            </w:r>
          </w:p>
        </w:tc>
        <w:tc>
          <w:tcPr>
            <w:tcW w:type="dxa" w:w="238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br/>
              <w:t>$47.46</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0.0080 ETH</w:t>
              <w:br/>
              <w:t>$18.08</w:t>
            </w:r>
          </w:p>
        </w:tc>
      </w:tr>
    </w:tbl>
    <w:p>
      <w:pPr>
        <w:spacing w:before="360" w:after="120"/>
      </w:pPr>
      <w:r>
        <w:rPr>
          <w:rFonts w:ascii="Arial" w:hAnsi="Arial"/>
          <w:rFonts w:ascii="Arial" w:hAnsi="Arial" w:cs="Arial"/>
          <w:b/>
          <w:i w:val="0"/>
          <w:color w:val="0A2342"/>
          <w:sz w:val="28"/>
        </w:rPr>
        <w:t>D. Per-Vault Breakdown</w:t>
      </w:r>
    </w:p>
    <w:p>
      <w:pPr>
        <w:spacing w:before="0" w:after="120"/>
      </w:pPr>
      <w:r>
        <w:rPr>
          <w:rFonts w:ascii="Arial" w:hAnsi="Arial"/>
          <w:rFonts w:ascii="Arial" w:hAnsi="Arial" w:cs="Arial"/>
          <w:b w:val="0"/>
          <w:i w:val="0"/>
          <w:color w:val="4A5568"/>
          <w:sz w:val="18"/>
        </w:rPr>
        <w:t>Supporting per-vault detail. Each vault block shows that vault's opening/closing balances, full transaction list, NFTs, and any staking position and staking transactions.</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Fiat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320,033.61111000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47,516.11243000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23,550.66962000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71,951.34527000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48,400.67565000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0.89587748</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0.04075862</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0.04009069</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-0.00066793</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105.36293000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3,024.94519000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2,919.58226000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36.69408000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34.92115000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-1.77293000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0.05754000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0.00001000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0x4f12...c8a3</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0x9b27...d014</w:t>
              <w:br/>
              <w:t>OTC Trade #T-204602</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0.00007965 ETH ($0.18)</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0x771a...e0d3</w:t>
              <w:br/>
              <w:t>OTC Trade #T-204602</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bc1q...m9zd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bc1q...nf02</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bc1q...p9wq</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0.00000830 BTC ($0.06)</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bc1q...t44k</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0xe88b...1c40</w:t>
              <w:br/>
              <w:t>OTC Trade #T-204687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Fiat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0x2a55...09bd</w:t>
              <w:br/>
              <w:t>Top-up from Markets Settlement</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Fiat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169,879.72865000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-102,637.77003000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105,308.87335000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102,389.29438000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-2,919.57897000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149,682.95699000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21,136.69899000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-128,546.25800000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-0.00003995</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0.08953215</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0.08858655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-0.00094560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-111.37290000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TRX...8e1a</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6.42850000 TRX ($2.10)</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TRX...3334</w:t>
              <w:br/>
              <w:t>OTC Trade #T-204598</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0x9b27...e2c1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TRX...4hxz</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TRX...4j9y</w:t>
              <w:br/>
              <w:t>OTC Trade #T-204603</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0xdkkn...1900</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0.00015301 ETH ($0.35)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0x4jve...20e3</w:t>
              <w:br/>
              <w:t>OTC Trade #T-204614</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bc1q...p7zg</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 ($3.05)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bc1q...kfw1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TRX...4mg3</w:t>
              <w:br/>
              <w:t>OTC Trade #T-204661</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Fiat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bl>
    <w:p>
      <w:pPr>
        <w:spacing w:before="160" w:after="60"/>
      </w:pPr>
      <w:r>
        <w:rPr>
          <w:rFonts w:ascii="Arial" w:hAnsi="Arial"/>
          <w:rFonts w:ascii="Arial" w:hAnsi="Arial" w:cs="Arial"/>
          <w:b/>
          <w:i w:val="0"/>
          <w:color w:val="0F2A4D"/>
          <w:sz w:val="20"/>
        </w:rPr>
        <w:t>Rewards &amp; lifecycle</w:t>
      </w:r>
    </w:p>
    <w:tbl>
      <w:tblPr>
        <w:tblW w:type="auto" w:w="0"/>
        <w:jc w:val="left"/>
        <w:tblLayout w:type="fixed"/>
        <w:tblLook w:firstColumn="1" w:firstRow="1" w:lastColumn="0" w:lastRow="0" w:noHBand="0" w:noVBand="1" w:val="04A0"/>
      </w:tblPr>
      <w:tblGrid>
        <w:gridCol w:w="907"/>
        <w:gridCol w:w="2494"/>
        <w:gridCol w:w="2041"/>
        <w:gridCol w:w="2381"/>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4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Claimed (period)</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Claimable (at period end)</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Commission (period)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49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br/>
              <w:t>$1,902.92</w:t>
            </w:r>
          </w:p>
        </w:tc>
        <w:tc>
          <w:tcPr>
            <w:tcW w:type="dxa" w:w="238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br/>
              <w:t>$47.46</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0.0080 ETH</w:t>
              <w:br/>
              <w:t>$18.08</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74"/>
        <w:gridCol w:w="1701"/>
        <w:gridCol w:w="680"/>
        <w:gridCol w:w="1020"/>
        <w:gridCol w:w="1247"/>
        <w:gridCol w:w="1247"/>
        <w:gridCol w:w="1701"/>
        <w:gridCol w:w="1361"/>
      </w:tblGrid>
      <w:tr>
        <w:trPr>
          <w:trHeight w:val="420" w:hRule="atLeast"/>
        </w:trPr>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0x7e44...d910</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0x7e44...d910</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0x83a1...b227</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0x83a1...b227</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0xc502...4f0e</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0xc502...4f0e</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0xd17a...8c0b</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0xd17a...8c0b</w:t>
            </w:r>
          </w:p>
        </w:tc>
      </w:tr>
      <w:tr>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Net (8 txns)</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0.8340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$1,884.84</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w:t>
      </w:r>
    </w:p>
    <w:tbl>
      <w:tblPr>
        <w:tblW w:type="auto" w:w="0"/>
        <w:jc w:val="left"/>
        <w:tblLayout w:type="fixed"/>
        <w:tblLook w:firstColumn="1" w:firstRow="1" w:lastColumn="0" w:lastRow="0" w:noHBand="0" w:noVBand="1" w:val="04A0"/>
      </w:tblPr>
      <w:tblGrid>
        <w:gridCol w:w="1247"/>
        <w:gridCol w:w="1474"/>
        <w:gridCol w:w="1134"/>
        <w:gridCol w:w="567"/>
        <w:gridCol w:w="907"/>
        <w:gridCol w:w="1134"/>
        <w:gridCol w:w="1247"/>
        <w:gridCol w:w="1020"/>
        <w:gridCol w:w="170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Reason</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0x9b27...e2c1</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0xdkkn...1900</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bc1q...m9zd</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(0 of 2 signed)</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Vault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