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Identification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ENT-AE-2811</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Assets Under Custody (AUC)</w:t>
      </w:r>
    </w:p>
    <w:p>
      <w:pPr>
        <w:spacing w:before="0" w:after="120"/>
      </w:pPr>
      <w:r>
        <w:rPr>
          <w:rFonts w:ascii="Arial" w:hAnsi="Arial"/>
          <w:rFonts w:ascii="Arial" w:hAnsi="Arial" w:cs="Arial"/>
          <w:b w:val="0"/>
          <w:i w:val="0"/>
          <w:color w:val="4A5568"/>
          <w:sz w:val="18"/>
        </w:rPr>
        <w:t>AUC = Spendable + Staked + Vesting balance across all vaults. Excludes lent assets and borrowed liabilities.</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Snapshot</w:t>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pacing w:before="360" w:after="120"/>
      </w:pPr>
      <w:r>
        <w:rPr>
          <w:rFonts w:ascii="Arial" w:hAnsi="Arial"/>
          <w:rFonts w:ascii="Arial" w:hAnsi="Arial" w:cs="Arial"/>
          <w:b/>
          <w:i w:val="0"/>
          <w:color w:val="0A2342"/>
          <w:sz w:val="28"/>
        </w:rPr>
        <w:t>C. Pending Items</w:t>
      </w:r>
    </w:p>
    <w:p>
      <w:pPr>
        <w:spacing w:before="0" w:after="120"/>
      </w:pPr>
      <w:r>
        <w:rPr>
          <w:rFonts w:ascii="Arial" w:hAnsi="Arial"/>
          <w:rFonts w:ascii="Arial" w:hAnsi="Arial" w:cs="Arial"/>
          <w:b w:val="0"/>
          <w:i w:val="0"/>
          <w:color w:val="4A5568"/>
          <w:sz w:val="18"/>
        </w:rPr>
        <w:t>Open items at end of period: travel-rule declarations awaiting client action.</w:t>
      </w:r>
    </w:p>
    <w:tbl>
      <w:tblPr>
        <w:tblW w:type="auto" w:w="0"/>
        <w:jc w:val="left"/>
        <w:tblLayout w:type="fixed"/>
        <w:tblLook w:firstColumn="1" w:firstRow="1" w:lastColumn="0" w:lastRow="0" w:noHBand="0" w:noVBand="1" w:val="04A0"/>
      </w:tblPr>
      <w:tblGrid>
        <w:gridCol w:w="1587"/>
        <w:gridCol w:w="1814"/>
        <w:gridCol w:w="6463"/>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Topic</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Status</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Summary</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Travel Rule</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Action required</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3 transaction(s) totalling $1,938,386.97 are flagged 'Travel Rule declaration pending'. Please resolve via the client portal.</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Enterprise-level rolled-up custody balances across all vaults. Opening snapshot: 2026-03-31 23:59:59 UTC. Closing snapshot: 2026-04-30 23:59:59 UTC. No per-vault breakdown and no individual transaction lines are shown.</w:t>
      </w: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907"/>
        <w:gridCol w:w="1701"/>
        <w:gridCol w:w="1587"/>
        <w:gridCol w:w="1417"/>
        <w:gridCol w:w="1587"/>
        <w:gridCol w:w="1417"/>
        <w:gridCol w:w="124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Fiat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Fiat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B91C1C"/>
                <w:sz w:val="15"/>
              </w:rPr>
              <w:t>-$165,866.46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+$45,585.23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+$33,872.24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+$4.31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+$113.01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-$163,125.36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B91C1C"/>
                <w:sz w:val="15"/>
              </w:rPr>
              <w:t>-$38.04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+$3,476.84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5"/>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+$2.87</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-$245,024.85</w:t>
            </w:r>
          </w:p>
        </w:tc>
      </w:tr>
    </w:tbl>
    <w:p>
      <w:pPr>
        <w:spacing w:before="360" w:after="120"/>
      </w:pPr>
      <w:r>
        <w:rPr>
          <w:rFonts w:ascii="Arial" w:hAnsi="Arial"/>
          <w:rFonts w:ascii="Arial" w:hAnsi="Arial" w:cs="Arial"/>
          <w:b/>
          <w:i w:val="0"/>
          <w:color w:val="0A2342"/>
          <w:sz w:val="28"/>
        </w:rPr>
        <w:t>B. Period Activity — Total Received &amp; Sent</w:t>
      </w:r>
    </w:p>
    <w:p>
      <w:pPr>
        <w:spacing w:before="0" w:after="120"/>
      </w:pPr>
      <w:r>
        <w:rPr>
          <w:rFonts w:ascii="Arial" w:hAnsi="Arial"/>
          <w:rFonts w:ascii="Arial" w:hAnsi="Arial" w:cs="Arial"/>
          <w:b w:val="0"/>
          <w:i w:val="0"/>
          <w:color w:val="4A5568"/>
          <w:sz w:val="18"/>
        </w:rPr>
        <w:t>Total received and sent during the period, per asset. Includes Transfer-In, Transfer-Out, and Market Settlement-In / -Out movements. Excludes internal staking operations.</w:t>
      </w:r>
    </w:p>
    <w:tbl>
      <w:tblPr>
        <w:tblW w:type="auto" w:w="0"/>
        <w:jc w:val="left"/>
        <w:tblLayout w:type="fixed"/>
        <w:tblLook w:firstColumn="1" w:firstRow="1" w:lastColumn="0" w:lastRow="0" w:noHBand="0" w:noVBand="1" w:val="04A0"/>
      </w:tblPr>
      <w:tblGrid>
        <w:gridCol w:w="907"/>
        <w:gridCol w:w="1701"/>
        <w:gridCol w:w="1814"/>
        <w:gridCol w:w="1701"/>
        <w:gridCol w:w="1814"/>
        <w:gridCol w:w="192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Fiat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Fiat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696,000.00000000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$695,304.00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862,283.12734000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$861,420.85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514,437.67000000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$513,923.23</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468,956.57332000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$468,487.63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8.61419000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$638,234.50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8.21129000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$627,251.20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0.00163000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Arbitrum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$113.05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3,447,932.04000000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$3,444,484.31</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3,611,231.50280000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$3,607,620.27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113.14583000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$43.62</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3,477.35300000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$3,476.85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0.23422000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$19.50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Polygon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30.19967000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$2.87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$5,296,495.93</w:t>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$5,564,827.30</w:t>
            </w:r>
          </w:p>
        </w:tc>
      </w:tr>
    </w:tbl>
    <w:p>
      <w:pPr>
        <w:spacing w:before="360" w:after="120"/>
      </w:pPr>
      <w:r>
        <w:rPr>
          <w:rFonts w:ascii="Arial" w:hAnsi="Arial"/>
          <w:rFonts w:ascii="Arial" w:hAnsi="Arial" w:cs="Arial"/>
          <w:b/>
          <w:i w:val="0"/>
          <w:color w:val="0A2342"/>
          <w:sz w:val="28"/>
        </w:rPr>
        <w:t>C. NFT Balance</w:t>
      </w:r>
    </w:p>
    <w:p>
      <w:pPr>
        <w:spacing w:before="0" w:after="120"/>
      </w:pPr>
      <w:r>
        <w:rPr>
          <w:rFonts w:ascii="Arial" w:hAnsi="Arial"/>
          <w:rFonts w:ascii="Arial" w:hAnsi="Arial" w:cs="Arial"/>
          <w:b w:val="0"/>
          <w:i w:val="0"/>
          <w:color w:val="4A5568"/>
          <w:sz w:val="18"/>
        </w:rPr>
        <w:t>Aggregate NFT holdings across all vaults at end of period. NFTs are listed by collection/name; quantities only (no fiat valuation).</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D. Staking Sub-section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Chain</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Fiat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bl>
    <w:p>
      <w:pPr>
        <w:spacing w:before="160" w:after="60"/>
      </w:pPr>
      <w:r>
        <w:rPr>
          <w:rFonts w:ascii="Arial" w:hAnsi="Arial"/>
          <w:rFonts w:ascii="Arial" w:hAnsi="Arial" w:cs="Arial"/>
          <w:b/>
          <w:i w:val="0"/>
          <w:color w:val="0F2A4D"/>
          <w:sz w:val="20"/>
        </w:rPr>
        <w:t>Rewards &amp; lifecycle</w:t>
      </w:r>
    </w:p>
    <w:tbl>
      <w:tblPr>
        <w:tblW w:type="auto" w:w="0"/>
        <w:jc w:val="left"/>
        <w:tblLayout w:type="fixed"/>
        <w:tblLook w:firstColumn="1" w:firstRow="1" w:lastColumn="0" w:lastRow="0" w:noHBand="0" w:noVBand="1" w:val="04A0"/>
      </w:tblPr>
      <w:tblGrid>
        <w:gridCol w:w="907"/>
        <w:gridCol w:w="2494"/>
        <w:gridCol w:w="2041"/>
        <w:gridCol w:w="2381"/>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4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Claimed (period)</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Claimable (at period end)</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Commission (period)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49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br/>
              <w:t>$1,902.92</w:t>
            </w:r>
          </w:p>
        </w:tc>
        <w:tc>
          <w:tcPr>
            <w:tcW w:type="dxa" w:w="238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0.0080 ETH</w:t>
              <w:br/>
              <w:t>$18.08</w:t>
            </w:r>
          </w:p>
        </w:tc>
      </w:tr>
    </w:tbl>
    <w:p>
      <w:pPr>
        <w:spacing w:before="360" w:after="120"/>
      </w:pPr>
      <w:r>
        <w:rPr>
          <w:rFonts w:ascii="Arial" w:hAnsi="Arial"/>
          <w:rFonts w:ascii="Arial" w:hAnsi="Arial" w:cs="Arial"/>
          <w:b/>
          <w:i w:val="0"/>
          <w:color w:val="0A2342"/>
          <w:sz w:val="28"/>
        </w:rPr>
        <w:t>E. Fee</w:t>
      </w:r>
    </w:p>
    <w:p>
      <w:pPr>
        <w:spacing w:before="0" w:after="120"/>
      </w:pPr>
      <w:r>
        <w:rPr>
          <w:rFonts w:ascii="Arial" w:hAnsi="Arial"/>
          <w:rFonts w:ascii="Arial" w:hAnsi="Arial" w:cs="Arial"/>
          <w:b w:val="0"/>
          <w:i w:val="0"/>
          <w:color w:val="4A5568"/>
          <w:sz w:val="18"/>
        </w:rPr>
        <w:t>Fees charged during the statement period, disclosed in accordance with MAS Notice PSN04 fee transparency requirements. All fees are invoiced in USD off-statement (deducted via separate invoice).</w:t>
      </w:r>
    </w:p>
    <w:tbl>
      <w:tblPr>
        <w:tblW w:type="auto" w:w="0"/>
        <w:jc w:val="left"/>
        <w:tblLayout w:type="fixed"/>
        <w:tblLook w:firstColumn="1" w:firstRow="1" w:lastColumn="0" w:lastRow="0" w:noHBand="0" w:noVBand="1" w:val="04A0"/>
      </w:tblPr>
      <w:tblGrid>
        <w:gridCol w:w="1587"/>
        <w:gridCol w:w="2948"/>
        <w:gridCol w:w="3628"/>
        <w:gridCol w:w="1701"/>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294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62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2948"/>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628"/>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294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62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294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62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Vault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