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Identification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ENT-AE-2811</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Generated On</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07 May 2026</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402"/>
        <w:gridCol w:w="6463"/>
      </w:tblGrid>
      <w:tr>
        <w:trPr>
          <w:trHeight w:val="420" w:hRule="atLeast"/>
        </w:trPr>
        <w:tc>
          <w:tcPr>
            <w:tcW w:type="dxa" w:w="340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463"/>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463"/>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40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463"/>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402"/>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463"/>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(Simplified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Vault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Includes period interest accrued / paid / outstanding per loan.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361"/>
        <w:gridCol w:w="1361"/>
        <w:gridCol w:w="1361"/>
        <w:gridCol w:w="1247"/>
        <w:gridCol w:w="1587"/>
        <w:gridCol w:w="794"/>
        <w:gridCol w:w="1247"/>
        <w:gridCol w:w="90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Fiat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361"/>
        <w:gridCol w:w="1587"/>
        <w:gridCol w:w="1361"/>
        <w:gridCol w:w="1361"/>
        <w:gridCol w:w="1020"/>
        <w:gridCol w:w="1587"/>
        <w:gridCol w:w="1587"/>
      </w:tblGrid>
      <w:tr>
        <w:trPr>
          <w:trHeight w:val="420" w:hRule="atLeast"/>
        </w:trPr>
        <w:tc>
          <w:tcPr>
            <w:tcW w:type="dxa" w:w="13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Fiat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361"/>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20"/>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01"/>
        <w:gridCol w:w="1701"/>
        <w:gridCol w:w="1701"/>
        <w:gridCol w:w="1587"/>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58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Borrow interest accrues daily on outstanding principal; lend interest accrues daily and is paid in-kind at maturity.</w:t>
      </w:r>
    </w:p>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Vault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