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Identification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ENT-AE-2811</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OTC Trading Activity (period)</w:t>
      </w:r>
    </w:p>
    <w:tbl>
      <w:tblPr>
        <w:tblW w:type="auto" w:w="0"/>
        <w:jc w:val="left"/>
        <w:tblLayout w:type="fixed"/>
        <w:tblLook w:firstColumn="1" w:firstRow="1" w:lastColumn="0" w:lastRow="0" w:noHBand="0" w:noVBand="1" w:val="04A0"/>
      </w:tblPr>
      <w:tblGrid>
        <w:gridCol w:w="5386"/>
        <w:gridCol w:w="4479"/>
      </w:tblGrid>
      <w:tr>
        <w:trPr>
          <w:trHeight w:val="420" w:hRule="atLeast"/>
        </w:trPr>
        <w:tc>
          <w:tcPr>
            <w:tcW w:type="dxa" w:w="538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47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38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47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38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47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pacing w:before="360" w:after="120"/>
      </w:pPr>
      <w:r>
        <w:rPr>
          <w:rFonts w:ascii="Arial" w:hAnsi="Arial"/>
          <w:rFonts w:ascii="Arial" w:hAnsi="Arial" w:cs="Arial"/>
          <w:b/>
          <w:i w:val="0"/>
          <w:color w:val="0A2342"/>
          <w:sz w:val="28"/>
        </w:rPr>
        <w:t>C. Pending Items</w:t>
      </w:r>
    </w:p>
    <w:p>
      <w:pPr>
        <w:spacing w:before="0" w:after="120"/>
      </w:pPr>
      <w:r>
        <w:rPr>
          <w:rFonts w:ascii="Arial" w:hAnsi="Arial"/>
          <w:rFonts w:ascii="Arial" w:hAnsi="Arial" w:cs="Arial"/>
          <w:b w:val="0"/>
          <w:i w:val="0"/>
          <w:color w:val="4A5568"/>
          <w:sz w:val="18"/>
        </w:rPr>
        <w:t>Open items at end of period: OTC trades pending settlement.</w:t>
      </w:r>
    </w:p>
    <w:tbl>
      <w:tblPr>
        <w:tblW w:type="auto" w:w="0"/>
        <w:jc w:val="left"/>
        <w:tblLayout w:type="fixed"/>
        <w:tblLook w:firstColumn="1" w:firstRow="1" w:lastColumn="0" w:lastRow="0" w:noHBand="0" w:noVBand="1" w:val="04A0"/>
      </w:tblPr>
      <w:tblGrid>
        <w:gridCol w:w="1587"/>
        <w:gridCol w:w="1814"/>
        <w:gridCol w:w="6463"/>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Topic</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Status</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Summary</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OTC Settlement</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Pending settlement</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2 OTC trade(s) totalling $367,520.00 are unsettled at end of period. Settlement is handled by Hex Trust — no client action required. See OTC Trading section for full detail.</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Full list of OTC trades and their settlement asset movements. Settlement entries (Section B) are the same Market Settlement-In / Market Settlement-Out events recorded in the Custody section, presented here with explicit Trade ID linkage for reconciliation. Unsettled trades produce no entries in Section B until they settle.</w:t>
      </w: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87"/>
        <w:gridCol w:w="1020"/>
        <w:gridCol w:w="680"/>
        <w:gridCol w:w="1134"/>
        <w:gridCol w:w="1361"/>
        <w:gridCol w:w="1474"/>
        <w:gridCol w:w="907"/>
        <w:gridCol w:w="124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7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7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(16 trades)</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$6,625,538.64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14 Settled / 2 Unsettled</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p>
      <w:pPr>
        <w:spacing w:before="0" w:after="120"/>
      </w:pPr>
      <w:r>
        <w:rPr>
          <w:rFonts w:ascii="Arial" w:hAnsi="Arial"/>
          <w:rFonts w:ascii="Arial" w:hAnsi="Arial" w:cs="Arial"/>
          <w:b w:val="0"/>
          <w:i w:val="0"/>
          <w:color w:val="4A5568"/>
          <w:sz w:val="18"/>
        </w:rPr>
        <w:t>Two rows per settled OTC trade — one Received (in) leg and one Paid (out) leg, linked to the trade above by Trade ID.</w:t>
      </w:r>
    </w:p>
    <w:tbl>
      <w:tblPr>
        <w:tblW w:type="auto" w:w="0"/>
        <w:jc w:val="left"/>
        <w:tblLayout w:type="fixed"/>
        <w:tblLook w:firstColumn="1" w:firstRow="1" w:lastColumn="0" w:lastRow="0" w:noHBand="0" w:noVBand="1" w:val="04A0"/>
      </w:tblPr>
      <w:tblGrid>
        <w:gridCol w:w="907"/>
        <w:gridCol w:w="1247"/>
        <w:gridCol w:w="1247"/>
        <w:gridCol w:w="680"/>
        <w:gridCol w:w="1247"/>
        <w:gridCol w:w="1247"/>
        <w:gridCol w:w="1361"/>
        <w:gridCol w:w="1361"/>
        <w:gridCol w:w="90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Custody Vault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+10.5000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$850,500.00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0x204598…recv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-$850,500.00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0x204598…paid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+5.4750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$444,412.67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0x204602…recv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-$444,412.67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0x204602…paid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$2,550,175.00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0x204614…recv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-$2,550,175.00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0x204614…paid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$405,913.30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0x204620…recv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-$405,913.30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0x204620…paid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0x204603…recv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0x204603…paid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$149,910.00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0x204605…recv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-$149,910.00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0x204605…paid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$299,820.00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0x204611…recv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-$299,820.00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0x204611…paid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$23,985.60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0x204625…recv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-$23,985.60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0x204625…paid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0x204640…recv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0x204640…paid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$250,762.07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0x204661…recv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-$250,762.07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0x204661…paid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$339,160.00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0x204635…recv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-$339,160.00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0x204635…paid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$84,640.00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0x204658…recv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-$84,640.00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0x204658…paid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+1,200.0000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$289,944.00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0x204618…recv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-$289,944.00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0x204618…paid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$169,036.00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0x204628…recv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-$169,036.00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0x204628…paid</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(14 settled · 28 movements)</w:t>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Vault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