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Identification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ENT-AE-2811</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OTC Trading Activity (period)</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pacing w:before="360" w:after="120"/>
      </w:pPr>
      <w:r>
        <w:rPr>
          <w:rFonts w:ascii="Arial" w:hAnsi="Arial"/>
          <w:rFonts w:ascii="Arial" w:hAnsi="Arial" w:cs="Arial"/>
          <w:b/>
          <w:i w:val="0"/>
          <w:color w:val="0A2342"/>
          <w:sz w:val="28"/>
        </w:rPr>
        <w:t>C. Pending Items</w:t>
      </w:r>
    </w:p>
    <w:p>
      <w:pPr>
        <w:spacing w:before="0" w:after="120"/>
      </w:pPr>
      <w:r>
        <w:rPr>
          <w:rFonts w:ascii="Arial" w:hAnsi="Arial"/>
          <w:rFonts w:ascii="Arial" w:hAnsi="Arial" w:cs="Arial"/>
          <w:b w:val="0"/>
          <w:i w:val="0"/>
          <w:color w:val="4A5568"/>
          <w:sz w:val="18"/>
        </w:rPr>
        <w:t>Open items at end of period: OTC trades pending settlement.</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OTC Settlement</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Pending settlement</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2 OTC trade(s) totalling $367,520.00 are unsettled at end of period. Settlement is handled by Hex Trust — no client action required. See OTC Trading section for full detail.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247"/>
        <w:gridCol w:w="907"/>
        <w:gridCol w:w="1701"/>
        <w:gridCol w:w="1814"/>
        <w:gridCol w:w="1587"/>
        <w:gridCol w:w="1020"/>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$6,213,840.00</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14</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Vault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