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07 May 2026</w:t>
      </w:r>
    </w:p>
    <w:p>
      <w:pPr>
        <w:spacing w:before="0" w:after="0"/>
      </w:pPr>
      <w:r>
        <w:rPr>
          <w:rFonts w:ascii="Arial" w:hAnsi="Arial"/>
          <w:rFonts w:ascii="Arial" w:hAnsi="Arial" w:cs="Arial"/>
          <w:b/>
          <w:i w:val="0"/>
          <w:color w:val="0A2342"/>
          <w:sz w:val="84"/>
        </w:rPr>
        <w:t>Custody</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HT Markets MENA FZE</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10206"/>
      </w:tblGrid>
      <w:tr>
        <w:tc>
          <w:tcPr>
            <w:tcW w:type="dxa" w:w="1020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1020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Information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Legal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Enterprise Name</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 — Custody</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Enterprise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21a4bf26-8dcc-11ee-9b69-2346469ca27d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Custodian</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Hex Trust MENA FZE</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Statement Period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01 Apr 2026 - 30 Apr 2026</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bl>
    <w:p>
      <w:pPr>
        <w:spacing w:before="360" w:after="120"/>
      </w:pPr>
      <w:r>
        <w:rPr>
          <w:rFonts w:ascii="Arial" w:hAnsi="Arial"/>
          <w:rFonts w:ascii="Arial" w:hAnsi="Arial" w:cs="Arial"/>
          <w:b/>
          <w:i w:val="0"/>
          <w:color w:val="0A2342"/>
          <w:sz w:val="28"/>
        </w:rPr>
        <w:t>B. Assets Under Custody (AUC)</w:t>
      </w:r>
    </w:p>
    <w:tbl>
      <w:tblPr>
        <w:tblW w:type="auto" w:w="0"/>
        <w:jc w:val="left"/>
        <w:tblLayout w:type="fixed"/>
        <w:tblLook w:firstColumn="1" w:firstRow="1" w:lastColumn="0" w:lastRow="0" w:noHBand="0" w:noVBand="1" w:val="04A0"/>
      </w:tblPr>
      <w:tblGrid>
        <w:gridCol w:w="2041"/>
        <w:gridCol w:w="3231"/>
        <w:gridCol w:w="4932"/>
      </w:tblGrid>
      <w:tr>
        <w:trPr>
          <w:trHeight w:val="420" w:hRule="atLeast"/>
        </w:trPr>
        <w:tc>
          <w:tcPr>
            <w:tcW w:type="dxa" w:w="204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r>
          </w:p>
        </w:tc>
        <w:tc>
          <w:tcPr>
            <w:tcW w:type="dxa" w:w="323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Timestamp (UTC)</w:t>
            </w:r>
          </w:p>
        </w:tc>
        <w:tc>
          <w:tcPr>
            <w:tcW w:type="dxa" w:w="4932"/>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AUC (USD)</w:t>
            </w:r>
          </w:p>
        </w:tc>
      </w:tr>
      <w:tr>
        <w:tc>
          <w:tcPr>
            <w:tcW w:type="dxa" w:w="2041"/>
            <w:tcBorders>
              <w:bottom w:val="single" w:sz="4" w:color="D0D5DD"/>
            </w:tcBorders>
            <w:vAlign w:val="center"/>
          </w:tcPr>
          <w:p>
            <w:pPr>
              <w:spacing w:before="40" w:after="40"/>
            </w:pPr>
            <w:r>
              <w:rPr>
                <w:rFonts w:ascii="Arial" w:hAnsi="Arial"/>
                <w:rFonts w:ascii="Arial" w:hAnsi="Arial" w:cs="Arial"/>
                <w:b w:val="0"/>
                <w:i w:val="0"/>
                <w:color w:val="4A5568"/>
                <w:sz w:val="19"/>
              </w:rPr>
              <w:t>Opening</w:t>
            </w:r>
          </w:p>
        </w:tc>
        <w:tc>
          <w:tcPr>
            <w:tcW w:type="dxa" w:w="3231"/>
            <w:tcBorders>
              <w:bottom w:val="single" w:sz="4" w:color="D0D5DD"/>
            </w:tcBorders>
            <w:vAlign w:val="center"/>
          </w:tcPr>
          <w:p>
            <w:pPr>
              <w:spacing w:before="40" w:after="40"/>
            </w:pPr>
            <w:r>
              <w:rPr>
                <w:rFonts w:ascii="Arial" w:hAnsi="Arial"/>
                <w:rFonts w:ascii="Arial" w:hAnsi="Arial" w:cs="Arial"/>
                <w:b w:val="0"/>
                <w:i w:val="0"/>
                <w:color w:val="4A5568"/>
                <w:sz w:val="19"/>
              </w:rPr>
              <w:t>2026-03-31 23:59:59</w:t>
            </w:r>
          </w:p>
        </w:tc>
        <w:tc>
          <w:tcPr>
            <w:tcW w:type="dxa" w:w="4932"/>
            <w:tcBorders>
              <w:bottom w:val="single" w:sz="4" w:color="D0D5DD"/>
            </w:tcBorders>
            <w:vAlign w:val="center"/>
          </w:tcPr>
          <w:p>
            <w:pPr>
              <w:spacing w:before="40" w:after="40"/>
              <w:jc w:val="right"/>
            </w:pPr>
            <w:r>
              <w:rPr>
                <w:rFonts w:ascii="Arial" w:hAnsi="Arial"/>
                <w:rFonts w:ascii="Arial" w:hAnsi="Arial" w:cs="Arial"/>
                <w:b w:val="0"/>
                <w:i w:val="0"/>
                <w:color w:val="4A5568"/>
                <w:sz w:val="19"/>
              </w:rPr>
              <w:t>$681,245.18</w:t>
            </w:r>
          </w:p>
        </w:tc>
      </w:tr>
      <w:tr>
        <w:tc>
          <w:tcPr>
            <w:tcW w:type="dxa" w:w="204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Closing</w:t>
            </w:r>
          </w:p>
        </w:tc>
        <w:tc>
          <w:tcPr>
            <w:tcW w:type="dxa" w:w="323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2026-04-30 23:59:59</w:t>
            </w:r>
          </w:p>
        </w:tc>
        <w:tc>
          <w:tcPr>
            <w:tcW w:type="dxa" w:w="4932"/>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9"/>
              </w:rPr>
              <w:t>$758,974.12</w:t>
            </w:r>
          </w:p>
        </w:tc>
      </w:tr>
      <w:tr>
        <w:tc>
          <w:tcPr>
            <w:tcW w:type="dxa" w:w="2041"/>
            <w:tcBorders>
              <w:bottom w:val="single" w:sz="4" w:color="D0D5DD"/>
            </w:tcBorders>
            <w:vAlign w:val="center"/>
          </w:tcPr>
          <w:p>
            <w:pPr>
              <w:spacing w:before="40" w:after="40"/>
            </w:pPr>
            <w:r>
              <w:rPr>
                <w:rFonts w:ascii="Arial" w:hAnsi="Arial"/>
                <w:rFonts w:ascii="Arial" w:hAnsi="Arial" w:cs="Arial"/>
                <w:b w:val="0"/>
                <w:i w:val="0"/>
                <w:color w:val="4A5568"/>
                <w:sz w:val="19"/>
              </w:rPr>
              <w:t>Change</w:t>
            </w:r>
          </w:p>
        </w:tc>
        <w:tc>
          <w:tcPr>
            <w:tcW w:type="dxa" w:w="3231"/>
            <w:tcBorders>
              <w:bottom w:val="single" w:sz="4" w:color="D0D5DD"/>
            </w:tcBorders>
            <w:vAlign w:val="center"/>
          </w:tcPr>
          <w:p>
            <w:pPr>
              <w:spacing w:before="40" w:after="40"/>
            </w:pPr>
            <w:r>
              <w:rPr>
                <w:rFonts w:ascii="Arial" w:hAnsi="Arial"/>
                <w:rFonts w:ascii="Arial" w:hAnsi="Arial" w:cs="Arial"/>
                <w:b w:val="0"/>
                <w:i w:val="0"/>
                <w:color w:val="4A5568"/>
                <w:sz w:val="19"/>
              </w:rPr>
              <w:t>—</w:t>
            </w:r>
          </w:p>
        </w:tc>
        <w:tc>
          <w:tcPr>
            <w:tcW w:type="dxa" w:w="4932"/>
            <w:tcBorders>
              <w:bottom w:val="single" w:sz="4" w:color="D0D5DD"/>
            </w:tcBorders>
            <w:vAlign w:val="center"/>
          </w:tcPr>
          <w:p>
            <w:pPr>
              <w:spacing w:before="40" w:after="40"/>
              <w:jc w:val="right"/>
            </w:pPr>
            <w:r>
              <w:rPr>
                <w:rFonts w:ascii="Arial" w:hAnsi="Arial"/>
                <w:rFonts w:ascii="Arial" w:hAnsi="Arial" w:cs="Arial"/>
                <w:b/>
                <w:i w:val="0"/>
                <w:color w:val="15803D"/>
                <w:sz w:val="19"/>
              </w:rPr>
              <w:t>+$77,728.94  (+11.41%)</w:t>
            </w:r>
          </w:p>
        </w:tc>
      </w:tr>
    </w:tbl>
    <w:p>
      <w:pPr>
        <w:sectPr>
          <w:pgSz w:w="11906" w:h="16838"/>
          <w:pgMar w:top="1134" w:right="850" w:bottom="1134" w:left="850" w:header="720" w:footer="720" w:gutter="0"/>
          <w:cols w:space="720"/>
          <w:docGrid w:linePitch="360"/>
        </w:sectPr>
      </w:pPr>
    </w:p>
    <w:tbl>
      <w:tblPr>
        <w:tblW w:type="auto" w:w="0"/>
        <w:jc w:val="center"/>
        <w:tblLayout w:type="fixed"/>
        <w:tblLook w:firstColumn="1" w:firstRow="1" w:lastColumn="0" w:lastRow="0" w:noHBand="0" w:noVBand="1" w:val="04A0"/>
      </w:tblPr>
      <w:tblGrid>
        <w:gridCol w:w="10206"/>
      </w:tblGrid>
      <w:tr>
        <w:tc>
          <w:tcPr>
            <w:tcW w:type="dxa" w:w="1020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2 — Custody (Simplified View)</w:t>
            </w:r>
          </w:p>
        </w:tc>
      </w:tr>
      <w:tr>
        <w:tc>
          <w:tcPr>
            <w:tcW w:type="dxa" w:w="1020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Custody balances across all wallets. Opening snapshot: 2026-03-31 23:59:59 UTC. Closing snapshot: 2026-04-30 23:59:59 UTC. No per-wallet breakdown and no individual transactions are shown.</w:t>
      </w:r>
    </w:p>
    <w:p>
      <w:pPr>
        <w:spacing w:before="360" w:after="120"/>
      </w:pPr>
      <w:r>
        <w:rPr>
          <w:rFonts w:ascii="Arial" w:hAnsi="Arial"/>
          <w:rFonts w:ascii="Arial" w:hAnsi="Arial" w:cs="Arial"/>
          <w:b/>
          <w:i w:val="0"/>
          <w:color w:val="0A2342"/>
          <w:sz w:val="28"/>
        </w:rPr>
        <w:t>A. Opening &amp; Closing Balances per Asset</w:t>
      </w:r>
    </w:p>
    <w:tbl>
      <w:tblPr>
        <w:tblW w:type="auto" w:w="0"/>
        <w:jc w:val="left"/>
        <w:tblLayout w:type="fixed"/>
        <w:tblLook w:firstColumn="1" w:firstRow="1" w:lastColumn="0" w:lastRow="0" w:noHBand="0" w:noVBand="1" w:val="04A0"/>
      </w:tblPr>
      <w:tblGrid>
        <w:gridCol w:w="1134"/>
        <w:gridCol w:w="1984"/>
        <w:gridCol w:w="1871"/>
        <w:gridCol w:w="1701"/>
        <w:gridCol w:w="1871"/>
        <w:gridCol w:w="1644"/>
      </w:tblGrid>
      <w:tr>
        <w:trPr>
          <w:trHeight w:val="420" w:hRule="atLeast"/>
        </w:trPr>
        <w:tc>
          <w:tcPr>
            <w:tcW w:type="dxa" w:w="113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98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87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Value (USD)</w:t>
            </w:r>
          </w:p>
        </w:tc>
        <w:tc>
          <w:tcPr>
            <w:tcW w:type="dxa" w:w="187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656,196.42711000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$655,540.23</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489,913.33977000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$489,673.77</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128,859.54296000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$128,730.68</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174,340.63964000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$174,315.91</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0.49900000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$35,055.50</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0.90190000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$68,927.74</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0.13029000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$286.64</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0.12868000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$290.95</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Arbitrum</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0.04998000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$113.01</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184,436.16179000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$184,251.72</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21,136.69899000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$21,126.36</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TRX</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319.51600000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$105.44</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206.37006000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$67.40</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870.00000000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$869.57</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105.36293000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3,582.71589000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$3,582.20</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BNB</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0.09988000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$61.46</w:t>
            </w:r>
          </w:p>
        </w:tc>
      </w:tr>
      <w:tr>
        <w:tc>
          <w:tcPr>
            <w:tcW w:type="dxa" w:w="1134"/>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0.05754000</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$4.79</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5"/>
              </w:rPr>
              <w:t>0.29176000</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$24.27</w:t>
            </w:r>
          </w:p>
        </w:tc>
      </w:tr>
      <w:tr>
        <w:tc>
          <w:tcPr>
            <w:tcW w:type="dxa" w:w="113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w:t>
            </w:r>
          </w:p>
        </w:tc>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Polygon</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30.19967000</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$2.87</w:t>
            </w:r>
          </w:p>
        </w:tc>
      </w:tr>
      <w:tr>
        <w:tc>
          <w:tcPr>
            <w:tcW w:type="dxa" w:w="113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w:t>
            </w:r>
          </w:p>
        </w:tc>
        <w:tc>
          <w:tcPr>
            <w:tcW w:type="dxa" w:w="198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87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$1,004,080.36</w:t>
            </w:r>
          </w:p>
        </w:tc>
        <w:tc>
          <w:tcPr>
            <w:tcW w:type="dxa" w:w="187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64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$759,055.51</w:t>
            </w:r>
          </w:p>
        </w:tc>
      </w:tr>
    </w:tbl>
    <w:p>
      <w:pPr>
        <w:spacing w:before="360" w:after="120"/>
      </w:pPr>
      <w:r>
        <w:rPr>
          <w:rFonts w:ascii="Arial" w:hAnsi="Arial"/>
          <w:rFonts w:ascii="Arial" w:hAnsi="Arial" w:cs="Arial"/>
          <w:b/>
          <w:i w:val="0"/>
          <w:color w:val="0A2342"/>
          <w:sz w:val="28"/>
        </w:rPr>
        <w:t>B. Period Activity — Total Received &amp; Sent</w:t>
      </w:r>
    </w:p>
    <w:p>
      <w:pPr>
        <w:spacing w:before="0" w:after="120"/>
      </w:pPr>
      <w:r>
        <w:rPr>
          <w:rFonts w:ascii="Arial" w:hAnsi="Arial"/>
          <w:rFonts w:ascii="Arial" w:hAnsi="Arial" w:cs="Arial"/>
          <w:b w:val="0"/>
          <w:i w:val="0"/>
          <w:color w:val="4A5568"/>
          <w:sz w:val="18"/>
        </w:rPr>
        <w:t>Total received and sent during the period, per asset. Includes Transfer-In, Transfer-Out, and Market Settlement-In / -Out movements. Excludes internal staking operations.</w:t>
      </w:r>
    </w:p>
    <w:tbl>
      <w:tblPr>
        <w:tblW w:type="auto" w:w="0"/>
        <w:jc w:val="left"/>
        <w:tblLayout w:type="fixed"/>
        <w:tblLook w:firstColumn="1" w:firstRow="1" w:lastColumn="0" w:lastRow="0" w:noHBand="0" w:noVBand="1" w:val="04A0"/>
      </w:tblPr>
      <w:tblGrid>
        <w:gridCol w:w="964"/>
        <w:gridCol w:w="1757"/>
        <w:gridCol w:w="1871"/>
        <w:gridCol w:w="1757"/>
        <w:gridCol w:w="1871"/>
        <w:gridCol w:w="1984"/>
      </w:tblGrid>
      <w:tr>
        <w:trPr>
          <w:trHeight w:val="420" w:hRule="atLeast"/>
        </w:trPr>
        <w:tc>
          <w:tcPr>
            <w:tcW w:type="dxa" w:w="96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87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Received Qty</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Received Value</w:t>
            </w:r>
          </w:p>
        </w:tc>
        <w:tc>
          <w:tcPr>
            <w:tcW w:type="dxa" w:w="187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Sent Qty</w:t>
            </w:r>
          </w:p>
        </w:tc>
        <w:tc>
          <w:tcPr>
            <w:tcW w:type="dxa" w:w="198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Sent Value</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57"/>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696,000.00000000</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$695,304.00</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862,283.12734000</w:t>
            </w:r>
          </w:p>
        </w:tc>
        <w:tc>
          <w:tcPr>
            <w:tcW w:type="dxa" w:w="1984"/>
            <w:tcBorders>
              <w:bottom w:val="single" w:sz="4" w:color="D0D5DD"/>
            </w:tcBorders>
            <w:vAlign w:val="center"/>
          </w:tcPr>
          <w:p>
            <w:pPr>
              <w:spacing w:before="40" w:after="40"/>
              <w:jc w:val="right"/>
            </w:pPr>
            <w:r>
              <w:rPr>
                <w:rFonts w:ascii="Arial" w:hAnsi="Arial"/>
                <w:rFonts w:ascii="Arial" w:hAnsi="Arial" w:cs="Arial"/>
                <w:b w:val="0"/>
                <w:i w:val="0"/>
                <w:color w:val="4A5568"/>
                <w:sz w:val="16"/>
              </w:rPr>
              <w:t>$861,420.85</w:t>
            </w:r>
          </w:p>
        </w:tc>
      </w:tr>
      <w:tr>
        <w:tc>
          <w:tcPr>
            <w:tcW w:type="dxa" w:w="96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5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514,437.67000000</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$513,923.23</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468,956.57332000</w:t>
            </w:r>
          </w:p>
        </w:tc>
        <w:tc>
          <w:tcPr>
            <w:tcW w:type="dxa" w:w="198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$468,487.63</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BTC</w:t>
            </w:r>
          </w:p>
        </w:tc>
        <w:tc>
          <w:tcPr>
            <w:tcW w:type="dxa" w:w="1757"/>
            <w:tcBorders>
              <w:bottom w:val="single" w:sz="4" w:color="D0D5DD"/>
            </w:tcBorders>
            <w:vAlign w:val="center"/>
          </w:tcPr>
          <w:p>
            <w:pPr>
              <w:spacing w:before="40" w:after="40"/>
            </w:pPr>
            <w:r>
              <w:rPr>
                <w:rFonts w:ascii="Arial" w:hAnsi="Arial"/>
                <w:rFonts w:ascii="Arial" w:hAnsi="Arial" w:cs="Arial"/>
                <w:b w:val="0"/>
                <w:i w:val="0"/>
                <w:color w:val="4A5568"/>
                <w:sz w:val="16"/>
              </w:rPr>
              <w:t>Bitcoin</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8.61419000</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$638,234.50</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8.21129000</w:t>
            </w:r>
          </w:p>
        </w:tc>
        <w:tc>
          <w:tcPr>
            <w:tcW w:type="dxa" w:w="1984"/>
            <w:tcBorders>
              <w:bottom w:val="single" w:sz="4" w:color="D0D5DD"/>
            </w:tcBorders>
            <w:vAlign w:val="center"/>
          </w:tcPr>
          <w:p>
            <w:pPr>
              <w:spacing w:before="40" w:after="40"/>
              <w:jc w:val="right"/>
            </w:pPr>
            <w:r>
              <w:rPr>
                <w:rFonts w:ascii="Arial" w:hAnsi="Arial"/>
                <w:rFonts w:ascii="Arial" w:hAnsi="Arial" w:cs="Arial"/>
                <w:b w:val="0"/>
                <w:i w:val="0"/>
                <w:color w:val="4A5568"/>
                <w:sz w:val="16"/>
              </w:rPr>
              <w:t>$627,251.20</w:t>
            </w:r>
          </w:p>
        </w:tc>
      </w:tr>
      <w:tr>
        <w:tc>
          <w:tcPr>
            <w:tcW w:type="dxa" w:w="96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75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0.00002000</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$0.04</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0.00163000</w:t>
            </w:r>
          </w:p>
        </w:tc>
        <w:tc>
          <w:tcPr>
            <w:tcW w:type="dxa" w:w="198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$3.69</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757"/>
            <w:tcBorders>
              <w:bottom w:val="single" w:sz="4" w:color="D0D5DD"/>
            </w:tcBorders>
            <w:vAlign w:val="center"/>
          </w:tcPr>
          <w:p>
            <w:pPr>
              <w:spacing w:before="40" w:after="40"/>
            </w:pPr>
            <w:r>
              <w:rPr>
                <w:rFonts w:ascii="Arial" w:hAnsi="Arial"/>
                <w:rFonts w:ascii="Arial" w:hAnsi="Arial" w:cs="Arial"/>
                <w:b w:val="0"/>
                <w:i w:val="0"/>
                <w:color w:val="4A5568"/>
                <w:sz w:val="16"/>
              </w:rPr>
              <w:t>Arbitrum</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0.05000000</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$113.05</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0.00002000</w:t>
            </w:r>
          </w:p>
        </w:tc>
        <w:tc>
          <w:tcPr>
            <w:tcW w:type="dxa" w:w="1984"/>
            <w:tcBorders>
              <w:bottom w:val="single" w:sz="4" w:color="D0D5DD"/>
            </w:tcBorders>
            <w:vAlign w:val="center"/>
          </w:tcPr>
          <w:p>
            <w:pPr>
              <w:spacing w:before="40" w:after="40"/>
              <w:jc w:val="right"/>
            </w:pPr>
            <w:r>
              <w:rPr>
                <w:rFonts w:ascii="Arial" w:hAnsi="Arial"/>
                <w:rFonts w:ascii="Arial" w:hAnsi="Arial" w:cs="Arial"/>
                <w:b w:val="0"/>
                <w:i w:val="0"/>
                <w:color w:val="4A5568"/>
                <w:sz w:val="16"/>
              </w:rPr>
              <w:t>$0.04</w:t>
            </w:r>
          </w:p>
        </w:tc>
      </w:tr>
      <w:tr>
        <w:tc>
          <w:tcPr>
            <w:tcW w:type="dxa" w:w="96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5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3,447,932.04000000</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$3,444,484.31</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3,611,231.50280000</w:t>
            </w:r>
          </w:p>
        </w:tc>
        <w:tc>
          <w:tcPr>
            <w:tcW w:type="dxa" w:w="198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$3,607,620.27</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TRX</w:t>
            </w:r>
          </w:p>
        </w:tc>
        <w:tc>
          <w:tcPr>
            <w:tcW w:type="dxa" w:w="1757"/>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20.00000000</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$6.55</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113.14583000</w:t>
            </w:r>
          </w:p>
        </w:tc>
        <w:tc>
          <w:tcPr>
            <w:tcW w:type="dxa" w:w="1984"/>
            <w:tcBorders>
              <w:bottom w:val="single" w:sz="4" w:color="D0D5DD"/>
            </w:tcBorders>
            <w:vAlign w:val="center"/>
          </w:tcPr>
          <w:p>
            <w:pPr>
              <w:spacing w:before="40" w:after="40"/>
              <w:jc w:val="right"/>
            </w:pPr>
            <w:r>
              <w:rPr>
                <w:rFonts w:ascii="Arial" w:hAnsi="Arial"/>
                <w:rFonts w:ascii="Arial" w:hAnsi="Arial" w:cs="Arial"/>
                <w:b w:val="0"/>
                <w:i w:val="0"/>
                <w:color w:val="4A5568"/>
                <w:sz w:val="16"/>
              </w:rPr>
              <w:t>$43.62</w:t>
            </w:r>
          </w:p>
        </w:tc>
      </w:tr>
      <w:tr>
        <w:tc>
          <w:tcPr>
            <w:tcW w:type="dxa" w:w="96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5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870.00000000</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$869.57</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8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57"/>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3,477.35300000</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$3,476.85</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84"/>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6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BNB</w:t>
            </w:r>
          </w:p>
        </w:tc>
        <w:tc>
          <w:tcPr>
            <w:tcW w:type="dxa" w:w="175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0.09988000</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$61.46</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8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SOL</w:t>
            </w:r>
          </w:p>
        </w:tc>
        <w:tc>
          <w:tcPr>
            <w:tcW w:type="dxa" w:w="1757"/>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0.23422000</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$19.50</w:t>
            </w:r>
          </w:p>
        </w:tc>
        <w:tc>
          <w:tcPr>
            <w:tcW w:type="dxa" w:w="1871"/>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84"/>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6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POL</w:t>
            </w:r>
          </w:p>
        </w:tc>
        <w:tc>
          <w:tcPr>
            <w:tcW w:type="dxa" w:w="175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Polygon</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30.19967000</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$2.87</w:t>
            </w:r>
          </w:p>
        </w:tc>
        <w:tc>
          <w:tcPr>
            <w:tcW w:type="dxa" w:w="187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98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r>
        <w:tc>
          <w:tcPr>
            <w:tcW w:type="dxa" w:w="96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75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87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$5,296,495.93</w:t>
            </w:r>
          </w:p>
        </w:tc>
        <w:tc>
          <w:tcPr>
            <w:tcW w:type="dxa" w:w="187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98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$5,564,827.30</w:t>
            </w:r>
          </w:p>
        </w:tc>
      </w:tr>
    </w:tbl>
    <w:p>
      <w:pPr>
        <w:spacing w:before="360" w:after="120"/>
      </w:pPr>
      <w:r>
        <w:rPr>
          <w:rFonts w:ascii="Arial" w:hAnsi="Arial"/>
          <w:rFonts w:ascii="Arial" w:hAnsi="Arial" w:cs="Arial"/>
          <w:b/>
          <w:i w:val="0"/>
          <w:color w:val="0A2342"/>
          <w:sz w:val="28"/>
        </w:rPr>
        <w:t>C. NFT Balance</w:t>
      </w:r>
    </w:p>
    <w:tbl>
      <w:tblPr>
        <w:tblW w:type="auto" w:w="0"/>
        <w:jc w:val="left"/>
        <w:tblLayout w:type="fixed"/>
        <w:tblLook w:firstColumn="1" w:firstRow="1" w:lastColumn="0" w:lastRow="0" w:noHBand="0" w:noVBand="1" w:val="04A0"/>
      </w:tblPr>
      <w:tblGrid>
        <w:gridCol w:w="5839"/>
        <w:gridCol w:w="2324"/>
        <w:gridCol w:w="2041"/>
      </w:tblGrid>
      <w:tr>
        <w:trPr>
          <w:trHeight w:val="420" w:hRule="atLeast"/>
        </w:trPr>
        <w:tc>
          <w:tcPr>
            <w:tcW w:type="dxa" w:w="583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32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BNB Chain Official Exchange Voucher</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BSC</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Colorful Desktop Background #026</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DBW PRE SALE LIVE</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839"/>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324"/>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7"/>
              </w:rPr>
              <w:t>3</w:t>
            </w:r>
          </w:p>
        </w:tc>
      </w:tr>
      <w:tr>
        <w:tc>
          <w:tcPr>
            <w:tcW w:type="dxa" w:w="583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Lido: stETH Withdrawal NFT</w:t>
            </w:r>
          </w:p>
        </w:tc>
        <w:tc>
          <w:tcPr>
            <w:tcW w:type="dxa" w:w="232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83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(6 NFT collections)</w:t>
            </w:r>
          </w:p>
        </w:tc>
        <w:tc>
          <w:tcPr>
            <w:tcW w:type="dxa" w:w="232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204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10</w:t>
            </w:r>
          </w:p>
        </w:tc>
      </w:tr>
    </w:tbl>
    <w:p>
      <w:pPr>
        <w:spacing w:before="360" w:after="120"/>
      </w:pPr>
      <w:r>
        <w:rPr>
          <w:rFonts w:ascii="Arial" w:hAnsi="Arial"/>
          <w:rFonts w:ascii="Arial" w:hAnsi="Arial" w:cs="Arial"/>
          <w:b/>
          <w:i w:val="0"/>
          <w:color w:val="0A2342"/>
          <w:sz w:val="28"/>
        </w:rPr>
        <w:t>D. Staking</w:t>
      </w:r>
    </w:p>
    <w:p>
      <w:pPr>
        <w:spacing w:before="160" w:after="60"/>
      </w:pPr>
      <w:r>
        <w:rPr>
          <w:rFonts w:ascii="Arial" w:hAnsi="Arial"/>
          <w:rFonts w:ascii="Arial" w:hAnsi="Arial" w:cs="Arial"/>
          <w:b/>
          <w:i w:val="0"/>
          <w:color w:val="0F2A4D"/>
          <w:sz w:val="20"/>
        </w:rPr>
        <w:t>Position</w:t>
      </w:r>
    </w:p>
    <w:tbl>
      <w:tblPr>
        <w:tblW w:type="auto" w:w="0"/>
        <w:jc w:val="left"/>
        <w:tblLayout w:type="fixed"/>
        <w:tblLook w:firstColumn="1" w:firstRow="1" w:lastColumn="0" w:lastRow="0" w:noHBand="0" w:noVBand="1" w:val="04A0"/>
      </w:tblPr>
      <w:tblGrid>
        <w:gridCol w:w="794"/>
        <w:gridCol w:w="1077"/>
        <w:gridCol w:w="1871"/>
        <w:gridCol w:w="1304"/>
        <w:gridCol w:w="1304"/>
        <w:gridCol w:w="1191"/>
        <w:gridCol w:w="1304"/>
        <w:gridCol w:w="1361"/>
      </w:tblGrid>
      <w:tr>
        <w:trPr>
          <w:trHeight w:val="420" w:hRule="atLeast"/>
        </w:trPr>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7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Network</w:t>
            </w:r>
          </w:p>
        </w:tc>
        <w:tc>
          <w:tcPr>
            <w:tcW w:type="dxa" w:w="187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30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Staked</w:t>
            </w:r>
          </w:p>
        </w:tc>
        <w:tc>
          <w:tcPr>
            <w:tcW w:type="dxa" w:w="130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Staked</w:t>
            </w:r>
          </w:p>
        </w:tc>
        <w:tc>
          <w:tcPr>
            <w:tcW w:type="dxa" w:w="119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Staked</w:t>
            </w:r>
          </w:p>
        </w:tc>
        <w:tc>
          <w:tcPr>
            <w:tcW w:type="dxa" w:w="130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Unbonding</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Value (USD)</w:t>
            </w:r>
          </w:p>
        </w:tc>
      </w:tr>
      <w:tr>
        <w:tc>
          <w:tcPr>
            <w:tcW w:type="dxa" w:w="79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77"/>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71"/>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191"/>
            <w:tcBorders>
              <w:bottom w:val="single" w:sz="4" w:color="D0D5DD"/>
            </w:tcBorders>
            <w:vAlign w:val="center"/>
          </w:tcPr>
          <w:p>
            <w:pPr>
              <w:spacing w:before="40" w:after="40"/>
              <w:jc w:val="right"/>
            </w:pPr>
            <w:r>
              <w:rPr>
                <w:rFonts w:ascii="Arial" w:hAnsi="Arial"/>
                <w:rFonts w:ascii="Arial" w:hAnsi="Arial" w:cs="Arial"/>
                <w:b/>
                <w:i w:val="0"/>
                <w:color w:val="4A5568"/>
                <w:sz w:val="16"/>
              </w:rPr>
              <w:t>0.0000 ETH</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r>
      <w:tr>
        <w:tc>
          <w:tcPr>
            <w:tcW w:type="dxa" w:w="79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107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87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30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30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19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30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$226,000.00</w:t>
            </w:r>
          </w:p>
        </w:tc>
      </w:tr>
    </w:tbl>
    <w:p>
      <w:pPr>
        <w:spacing w:before="160" w:after="60"/>
      </w:pPr>
      <w:r>
        <w:rPr>
          <w:rFonts w:ascii="Arial" w:hAnsi="Arial"/>
          <w:rFonts w:ascii="Arial" w:hAnsi="Arial" w:cs="Arial"/>
          <w:b/>
          <w:i w:val="0"/>
          <w:color w:val="0F2A4D"/>
          <w:sz w:val="20"/>
        </w:rPr>
        <w:t>Rewards</w:t>
      </w:r>
    </w:p>
    <w:tbl>
      <w:tblPr>
        <w:tblW w:type="auto" w:w="0"/>
        <w:jc w:val="left"/>
        <w:tblLayout w:type="fixed"/>
        <w:tblLook w:firstColumn="1" w:firstRow="1" w:lastColumn="0" w:lastRow="0" w:noHBand="0" w:noVBand="1" w:val="04A0"/>
      </w:tblPr>
      <w:tblGrid>
        <w:gridCol w:w="964"/>
        <w:gridCol w:w="2381"/>
        <w:gridCol w:w="1757"/>
        <w:gridCol w:w="1644"/>
        <w:gridCol w:w="1757"/>
        <w:gridCol w:w="1701"/>
      </w:tblGrid>
      <w:tr>
        <w:trPr>
          <w:trHeight w:val="420" w:hRule="atLeast"/>
        </w:trPr>
        <w:tc>
          <w:tcPr>
            <w:tcW w:type="dxa" w:w="96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238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Claimed (period)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Claimed Value (USD)</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Claimable (period end)</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Claimable Value (USD)</w:t>
            </w:r>
          </w:p>
        </w:tc>
      </w:tr>
      <w:tr>
        <w:tc>
          <w:tcPr>
            <w:tcW w:type="dxa" w:w="96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2381"/>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0.8420 ETH</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$1,902.92</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6"/>
              </w:rPr>
              <w:t>0.0210 ETH</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$47.46</w:t>
            </w:r>
          </w:p>
        </w:tc>
      </w:tr>
      <w:tr>
        <w:tc>
          <w:tcPr>
            <w:tcW w:type="dxa" w:w="96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Total</w:t>
            </w:r>
          </w:p>
        </w:tc>
        <w:tc>
          <w:tcPr>
            <w:tcW w:type="dxa" w:w="238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64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$1,902.92</w:t>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$47.46</w:t>
            </w:r>
          </w:p>
        </w:tc>
      </w:tr>
    </w:tbl>
    <w:p>
      <w:pPr>
        <w:spacing w:before="360" w:after="120"/>
      </w:pPr>
      <w:r>
        <w:rPr>
          <w:rFonts w:ascii="Arial" w:hAnsi="Arial"/>
          <w:rFonts w:ascii="Arial" w:hAnsi="Arial" w:cs="Arial"/>
          <w:b/>
          <w:i w:val="0"/>
          <w:color w:val="0A2342"/>
          <w:sz w:val="28"/>
        </w:rPr>
        <w:t>E. Fee</w:t>
      </w:r>
    </w:p>
    <w:p>
      <w:pPr>
        <w:spacing w:before="0" w:after="120"/>
      </w:pPr>
      <w:r>
        <w:rPr>
          <w:rFonts w:ascii="Arial" w:hAnsi="Arial"/>
          <w:rFonts w:ascii="Arial" w:hAnsi="Arial" w:cs="Arial"/>
          <w:b w:val="0"/>
          <w:i w:val="0"/>
          <w:color w:val="4A5568"/>
          <w:sz w:val="18"/>
        </w:rPr>
        <w:t>Fees charged during the statement period. All fees are invoiced in USD off-statement (deducted via separate invoice).</w:t>
      </w:r>
    </w:p>
    <w:tbl>
      <w:tblPr>
        <w:tblW w:type="auto" w:w="0"/>
        <w:jc w:val="left"/>
        <w:tblLayout w:type="fixed"/>
        <w:tblLook w:firstColumn="1" w:firstRow="1" w:lastColumn="0" w:lastRow="0" w:noHBand="0" w:noVBand="1" w:val="04A0"/>
      </w:tblPr>
      <w:tblGrid>
        <w:gridCol w:w="1644"/>
        <w:gridCol w:w="3061"/>
        <w:gridCol w:w="3742"/>
        <w:gridCol w:w="1757"/>
      </w:tblGrid>
      <w:tr>
        <w:trPr>
          <w:trHeight w:val="420" w:hRule="atLeast"/>
        </w:trPr>
        <w:tc>
          <w:tcPr>
            <w:tcW w:type="dxa" w:w="164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Fee Type</w:t>
            </w:r>
          </w:p>
        </w:tc>
        <w:tc>
          <w:tcPr>
            <w:tcW w:type="dxa" w:w="30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Rate / Schedule</w:t>
            </w:r>
          </w:p>
        </w:tc>
        <w:tc>
          <w:tcPr>
            <w:tcW w:type="dxa" w:w="3742"/>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Basis</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Amount (USD)</w:t>
            </w:r>
          </w:p>
        </w:tc>
      </w:tr>
      <w:tr>
        <w:tc>
          <w:tcPr>
            <w:tcW w:type="dxa" w:w="1644"/>
            <w:tcBorders>
              <w:bottom w:val="single" w:sz="4" w:color="D0D5DD"/>
            </w:tcBorders>
            <w:vAlign w:val="center"/>
          </w:tcPr>
          <w:p>
            <w:pPr>
              <w:spacing w:before="40" w:after="40"/>
            </w:pPr>
            <w:r>
              <w:rPr>
                <w:rFonts w:ascii="Arial" w:hAnsi="Arial"/>
                <w:rFonts w:ascii="Arial" w:hAnsi="Arial" w:cs="Arial"/>
                <w:b w:val="0"/>
                <w:i w:val="0"/>
                <w:color w:val="4A5568"/>
                <w:sz w:val="17"/>
              </w:rPr>
              <w:t>Custody fee</w:t>
            </w:r>
          </w:p>
        </w:tc>
        <w:tc>
          <w:tcPr>
            <w:tcW w:type="dxa" w:w="3061"/>
            <w:tcBorders>
              <w:bottom w:val="single" w:sz="4" w:color="D0D5DD"/>
            </w:tcBorders>
            <w:vAlign w:val="center"/>
          </w:tcPr>
          <w:p>
            <w:pPr>
              <w:spacing w:before="40" w:after="40"/>
            </w:pPr>
            <w:r>
              <w:rPr>
                <w:rFonts w:ascii="Arial" w:hAnsi="Arial"/>
                <w:rFonts w:ascii="Arial" w:hAnsi="Arial" w:cs="Arial"/>
                <w:b w:val="0"/>
                <w:i w:val="0"/>
                <w:color w:val="4A5568"/>
                <w:sz w:val="17"/>
              </w:rPr>
              <w:t>0.25% p.a. (25 bps), calculated on daily AUC</w:t>
            </w:r>
          </w:p>
        </w:tc>
        <w:tc>
          <w:tcPr>
            <w:tcW w:type="dxa" w:w="3742"/>
            <w:tcBorders>
              <w:bottom w:val="single" w:sz="4" w:color="D0D5DD"/>
            </w:tcBorders>
            <w:vAlign w:val="center"/>
          </w:tcPr>
          <w:p>
            <w:pPr>
              <w:spacing w:before="40" w:after="40"/>
            </w:pPr>
            <w:r>
              <w:rPr>
                <w:rFonts w:ascii="Arial" w:hAnsi="Arial"/>
                <w:rFonts w:ascii="Arial" w:hAnsi="Arial" w:cs="Arial"/>
                <w:b w:val="0"/>
                <w:i w:val="0"/>
                <w:color w:val="4A5568"/>
                <w:sz w:val="17"/>
              </w:rPr>
              <w:t>Avg daily AUC $760,425.18 over 01 Apr 2026 – 30 Apr 2026 (30 days)</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7"/>
              </w:rPr>
              <w:t>$156.25</w:t>
            </w:r>
          </w:p>
        </w:tc>
      </w:tr>
      <w:tr>
        <w:tc>
          <w:tcPr>
            <w:tcW w:type="dxa" w:w="164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Withdrawal fee</w:t>
            </w:r>
          </w:p>
        </w:tc>
        <w:tc>
          <w:tcPr>
            <w:tcW w:type="dxa" w:w="30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Per-withdrawal flat fee, varies by chain</w:t>
            </w:r>
          </w:p>
        </w:tc>
        <w:tc>
          <w:tcPr>
            <w:tcW w:type="dxa" w:w="3742"/>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12 withdrawals (Bitcoin 3 · Ethereum 4 · Tron 5)</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$69.97</w:t>
            </w:r>
          </w:p>
        </w:tc>
      </w:tr>
      <w:tr>
        <w:tc>
          <w:tcPr>
            <w:tcW w:type="dxa" w:w="164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w:t>
            </w:r>
          </w:p>
        </w:tc>
        <w:tc>
          <w:tcPr>
            <w:tcW w:type="dxa" w:w="306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3742"/>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175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$226.22</w:t>
            </w:r>
          </w:p>
        </w:tc>
      </w:tr>
    </w:tbl>
    <w:p>
      <w:pPr>
        <w:sectPr>
          <w:pgSz w:w="11906" w:h="16838"/>
          <w:pgMar w:top="1134" w:right="850" w:bottom="1134" w:left="85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Activity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 — Hex Trust MENA FZE:</w:t>
      </w:r>
    </w:p>
    <w:p>
      <w:pPr>
        <w:spacing w:before="0" w:after="0"/>
      </w:pPr>
      <w:r>
        <w:rPr>
          <w:rFonts w:ascii="Arial" w:hAnsi="Arial"/>
          <w:rFonts w:ascii="Arial" w:hAnsi="Arial" w:cs="Arial"/>
          <w:b w:val="0"/>
          <w:i w:val="0"/>
          <w:color w:val="0A2342"/>
          <w:sz w:val="18"/>
        </w:rPr>
        <w:t>The client must review the information in the monthly statement and give Hex Trust MENA FZE written notice of any suspected error or omission as soon as reasonably possible (in any event, no later than 7 days of accessing / receiving the statement). Hex Trust MENA FZE will not be liable with respect to any error or omission in the monthly statement (including any reliance on any such error or omission) unless the client has timely objected in writing as aforementioned, unless such error or omission is the result of Hex Trust MENA FZE's bad faith or willful default. Hex Trust MENA FZE is regulated by the Virtual Assets Regulatory Authority (VARA), Dubai.</w:t>
      </w:r>
    </w:p>
    <w:sectPr w:rsidR="00FC693F" w:rsidRPr="0006063C" w:rsidSect="00034616">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