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Vault</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D.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bl>
    <w:p>
      <w:pPr>
        <w:spacing w:before="360" w:after="120"/>
      </w:pPr>
      <w:r>
        <w:rPr>
          <w:rFonts w:ascii="Arial" w:hAnsi="Arial"/>
          <w:rFonts w:ascii="Arial" w:hAnsi="Arial" w:cs="Arial"/>
          <w:b/>
          <w:i w:val="0"/>
          <w:color w:val="0A2342"/>
          <w:sz w:val="28"/>
        </w:rPr>
        <w:t>E. Pending Items</w:t>
      </w:r>
    </w:p>
    <w:p>
      <w:pPr>
        <w:spacing w:before="0" w:after="120"/>
      </w:pPr>
      <w:r>
        <w:rPr>
          <w:rFonts w:ascii="Arial" w:hAnsi="Arial"/>
          <w:rFonts w:ascii="Arial" w:hAnsi="Arial" w:cs="Arial"/>
          <w:b w:val="0"/>
          <w:i w:val="0"/>
          <w:color w:val="4A5568"/>
          <w:sz w:val="18"/>
        </w:rPr>
        <w:t>Open items at end of period: travel-rule declarations awaiting client action, and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Enterprise-rolled-up balances, NFTs, and staking (Sections A-C) reconcile to the sum of the per-vault tables (Section D).</w:t>
      </w:r>
    </w:p>
    <w:p>
      <w:pPr>
        <w:spacing w:before="360" w:after="120"/>
      </w:pPr>
      <w:r>
        <w:rPr>
          <w:rFonts w:ascii="Arial" w:hAnsi="Arial"/>
          <w:rFonts w:ascii="Arial" w:hAnsi="Arial" w:cs="Arial"/>
          <w:b/>
          <w:i w:val="0"/>
          <w:color w:val="0A2342"/>
          <w:sz w:val="28"/>
        </w:rPr>
        <w:t>A. Opening &amp; Closing Balances per Asset (Enterprise-rolled-up)</w:t>
      </w:r>
    </w:p>
    <w:tbl>
      <w:tblPr>
        <w:tblW w:type="auto" w:w="0"/>
        <w:jc w:val="left"/>
        <w:tblLayout w:type="fixed"/>
        <w:tblLook w:firstColumn="1" w:firstRow="1" w:lastColumn="0" w:lastRow="0" w:noHBand="0" w:noVBand="1" w:val="04A0"/>
      </w:tblPr>
      <w:tblGrid>
        <w:gridCol w:w="907"/>
        <w:gridCol w:w="1701"/>
        <w:gridCol w:w="1587"/>
        <w:gridCol w:w="1417"/>
        <w:gridCol w:w="1587"/>
        <w:gridCol w:w="1417"/>
        <w:gridCol w:w="124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Fiat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-$165,866.46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+$45,585.23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+$33,872.24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+$4.31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+$113.01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-$163,125.36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-$38.04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+$3,476.84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+$2.87</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-$245,024.85</w:t>
            </w:r>
          </w:p>
        </w:tc>
      </w:tr>
    </w:tbl>
    <w:p>
      <w:pPr>
        <w:spacing w:before="360" w:after="120"/>
      </w:pPr>
      <w:r>
        <w:rPr>
          <w:rFonts w:ascii="Arial" w:hAnsi="Arial"/>
          <w:rFonts w:ascii="Arial" w:hAnsi="Arial" w:cs="Arial"/>
          <w:b/>
          <w:i w:val="0"/>
          <w:color w:val="0A2342"/>
          <w:sz w:val="28"/>
        </w:rPr>
        <w:t>B. NFT Balance (Enterprise-rolled-up)</w:t>
      </w:r>
    </w:p>
    <w:p>
      <w:pPr>
        <w:spacing w:before="0" w:after="120"/>
      </w:pPr>
      <w:r>
        <w:rPr>
          <w:rFonts w:ascii="Arial" w:hAnsi="Arial"/>
          <w:rFonts w:ascii="Arial" w:hAnsi="Arial" w:cs="Arial"/>
          <w:b w:val="0"/>
          <w:i w:val="0"/>
          <w:color w:val="4A5568"/>
          <w:sz w:val="18"/>
        </w:rPr>
        <w:t>Aggregate NFT holdings across all vaults at end of period. Per-vault NFT detail is shown inside each vault block in Section D.</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 (Enterprise-rolled-up)</w:t>
      </w:r>
    </w:p>
    <w:p>
      <w:pPr>
        <w:spacing w:before="0" w:after="120"/>
      </w:pPr>
      <w:r>
        <w:rPr>
          <w:rFonts w:ascii="Arial" w:hAnsi="Arial"/>
          <w:rFonts w:ascii="Arial" w:hAnsi="Arial" w:cs="Arial"/>
          <w:b w:val="0"/>
          <w:i w:val="0"/>
          <w:color w:val="4A5568"/>
          <w:sz w:val="18"/>
        </w:rPr>
        <w:t>Aggregate staking position across all vaults at end of period. Per-vault staking detail and individual staking transactions are shown inside each vault block in Section D.</w:t>
      </w:r>
    </w:p>
    <w:tbl>
      <w:tblPr>
        <w:tblW w:type="auto" w:w="0"/>
        <w:jc w:val="left"/>
        <w:tblLayout w:type="fixed"/>
        <w:tblLook w:firstColumn="1" w:firstRow="1" w:lastColumn="0" w:lastRow="0" w:noHBand="0" w:noVBand="1" w:val="04A0"/>
      </w:tblPr>
      <w:tblGrid>
        <w:gridCol w:w="680"/>
        <w:gridCol w:w="1134"/>
        <w:gridCol w:w="1701"/>
        <w:gridCol w:w="1020"/>
        <w:gridCol w:w="1247"/>
        <w:gridCol w:w="1020"/>
        <w:gridCol w:w="1247"/>
        <w:gridCol w:w="1134"/>
        <w:gridCol w:w="1247"/>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Fiat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Fiat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 Qty</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w:t>
            </w:r>
          </w:p>
        </w:tc>
      </w:tr>
    </w:tbl>
    <w:p>
      <w:pPr>
        <w:spacing w:before="360" w:after="120"/>
      </w:pPr>
      <w:r>
        <w:rPr>
          <w:rFonts w:ascii="Arial" w:hAnsi="Arial"/>
          <w:rFonts w:ascii="Arial" w:hAnsi="Arial" w:cs="Arial"/>
          <w:b/>
          <w:i w:val="0"/>
          <w:color w:val="0A2342"/>
          <w:sz w:val="28"/>
        </w:rPr>
        <w:t>D. Per-Vault Breakdown</w:t>
      </w:r>
    </w:p>
    <w:p>
      <w:pPr>
        <w:spacing w:before="0" w:after="120"/>
      </w:pPr>
      <w:r>
        <w:rPr>
          <w:rFonts w:ascii="Arial" w:hAnsi="Arial"/>
          <w:rFonts w:ascii="Arial" w:hAnsi="Arial" w:cs="Arial"/>
          <w:b w:val="0"/>
          <w:i w:val="0"/>
          <w:color w:val="4A5568"/>
          <w:sz w:val="18"/>
        </w:rPr>
        <w:t>Supporting per-vault detail. Each vault block shows that vault's opening/closing balances, full transaction list, NFTs, and any staking position and staking transactions.</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0x4f12...c8a3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0x9b27...d014</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0x771a...e0d3</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bc1q...nf02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bc1q...p9wq</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bc1q...t44k</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0xe88b...1c40</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0x2a55...09bd</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TRX...8e1a</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TRX...3334</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TRX...4hxz</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TRX...4j9y</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0x4jve...20e3</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bc1q...p7zg</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bc1q...kfw1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TRX...4mg3</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tbl>
      <w:tblPr>
        <w:tblW w:type="auto" w:w="0"/>
        <w:jc w:val="left"/>
        <w:tblLayout w:type="fixed"/>
        <w:tblLook w:firstColumn="1" w:firstRow="1" w:lastColumn="0" w:lastRow="0" w:noHBand="0" w:noVBand="1" w:val="04A0"/>
      </w:tblPr>
      <w:tblGrid>
        <w:gridCol w:w="680"/>
        <w:gridCol w:w="1134"/>
        <w:gridCol w:w="1701"/>
        <w:gridCol w:w="1020"/>
        <w:gridCol w:w="1247"/>
        <w:gridCol w:w="1020"/>
        <w:gridCol w:w="1247"/>
        <w:gridCol w:w="1134"/>
        <w:gridCol w:w="1247"/>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Fiat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Fiat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 Qty</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booked during the statement period. Settlement asset movements are recorded in the Custody section as Market Settlement-In / Market Settlement-Out — not duplicated here.</w:t>
      </w:r>
    </w:p>
    <w:p>
      <w:pPr>
        <w:spacing w:before="360" w:after="120"/>
      </w:pPr>
      <w:r>
        <w:rPr>
          <w:rFonts w:ascii="Arial" w:hAnsi="Arial"/>
          <w:rFonts w:ascii="Arial" w:hAnsi="Arial" w:cs="Arial"/>
          <w:b/>
          <w:i w:val="0"/>
          <w:color w:val="0A2342"/>
          <w:sz w:val="28"/>
        </w:rPr>
        <w:t>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 PRD v1 scope, interest accrued or paid during the period is not shown.</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Fiat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