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Fee Scheme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Custody: 25 bps p.a. on daily AUC · Withdrawal: per-chain flat · Staking: 8% commission on rewards</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 (Staked Balance Excluded)</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64"/>
        <w:gridCol w:w="1757"/>
        <w:gridCol w:w="1871"/>
        <w:gridCol w:w="1757"/>
        <w:gridCol w:w="1871"/>
        <w:gridCol w:w="1984"/>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8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Staking</w:t>
      </w:r>
    </w:p>
    <w:tbl>
      <w:tblPr>
        <w:tblW w:type="auto" w:w="0"/>
        <w:jc w:val="left"/>
        <w:tblLayout w:type="fixed"/>
        <w:tblLook w:firstColumn="1" w:firstRow="1" w:lastColumn="0" w:lastRow="0" w:noHBand="0" w:noVBand="1" w:val="04A0"/>
      </w:tblPr>
      <w:tblGrid>
        <w:gridCol w:w="680"/>
        <w:gridCol w:w="907"/>
        <w:gridCol w:w="1247"/>
        <w:gridCol w:w="1247"/>
        <w:gridCol w:w="1247"/>
        <w:gridCol w:w="1247"/>
        <w:gridCol w:w="1247"/>
        <w:gridCol w:w="1247"/>
        <w:gridCol w:w="1134"/>
      </w:tblGrid>
      <w:tr>
        <w:trPr>
          <w:trHeight w:val="420" w:hRule="atLeast"/>
        </w:trPr>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Provider</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Rewards</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br/>
              <w:t>$47.46</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D. NFT Balance</w:t>
      </w:r>
    </w:p>
    <w:tbl>
      <w:tblPr>
        <w:tblW w:type="auto" w:w="0"/>
        <w:jc w:val="left"/>
        <w:tblLayout w:type="fixed"/>
        <w:tblLook w:firstColumn="1" w:firstRow="1" w:lastColumn="0" w:lastRow="0" w:noHBand="0" w:noVBand="1" w:val="04A0"/>
      </w:tblPr>
      <w:tblGrid>
        <w:gridCol w:w="4989"/>
        <w:gridCol w:w="1814"/>
        <w:gridCol w:w="1701"/>
        <w:gridCol w:w="1701"/>
      </w:tblGrid>
      <w:tr>
        <w:trPr>
          <w:trHeight w:val="420" w:hRule="atLeast"/>
        </w:trPr>
        <w:tc>
          <w:tcPr>
            <w:tcW w:type="dxa" w:w="498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498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498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498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644"/>
        <w:gridCol w:w="3061"/>
        <w:gridCol w:w="3742"/>
        <w:gridCol w:w="1757"/>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30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74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3061"/>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742"/>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30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74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30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742"/>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