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2041"/>
        <w:gridCol w:w="3231"/>
        <w:gridCol w:w="4932"/>
      </w:tblGrid>
      <w:tr>
        <w:trPr>
          <w:trHeight w:val="420" w:hRule="atLeast"/>
        </w:trPr>
        <w:tc>
          <w:tcPr>
            <w:tcW w:type="dxa" w:w="204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2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93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93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204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2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93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93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Custody (Simplified View)</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Custody balances across all wallets. Opening snapshot: 2026-03-31 23:59:59 UTC. Closing snapshot: 2026-04-30 23:59:59 UTC. No per-wallet breakdown and no individual transactions are shown.</w:t>
      </w: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134"/>
        <w:gridCol w:w="1984"/>
        <w:gridCol w:w="1871"/>
        <w:gridCol w:w="1701"/>
        <w:gridCol w:w="1871"/>
        <w:gridCol w:w="1644"/>
      </w:tblGrid>
      <w:tr>
        <w:trPr>
          <w:trHeight w:val="420" w:hRule="atLeast"/>
        </w:trPr>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98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Period Activity — Total Received &amp; Sent</w:t>
      </w:r>
    </w:p>
    <w:p>
      <w:pPr>
        <w:spacing w:before="0" w:after="120"/>
      </w:pPr>
      <w:r>
        <w:rPr>
          <w:rFonts w:ascii="Arial" w:hAnsi="Arial"/>
          <w:rFonts w:ascii="Arial" w:hAnsi="Arial" w:cs="Arial"/>
          <w:b w:val="0"/>
          <w:i w:val="0"/>
          <w:color w:val="4A5568"/>
          <w:sz w:val="18"/>
        </w:rPr>
        <w:t>Total received and sent during the period, per asset. Includes Transfer-In, Transfer-Out, and Market Settlement-In / -Out movements. Excludes internal staking operations.</w:t>
      </w:r>
    </w:p>
    <w:tbl>
      <w:tblPr>
        <w:tblW w:type="auto" w:w="0"/>
        <w:jc w:val="left"/>
        <w:tblLayout w:type="fixed"/>
        <w:tblLook w:firstColumn="1" w:firstRow="1" w:lastColumn="0" w:lastRow="0" w:noHBand="0" w:noVBand="1" w:val="04A0"/>
      </w:tblPr>
      <w:tblGrid>
        <w:gridCol w:w="964"/>
        <w:gridCol w:w="1757"/>
        <w:gridCol w:w="1871"/>
        <w:gridCol w:w="1757"/>
        <w:gridCol w:w="1871"/>
        <w:gridCol w:w="1984"/>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Qty</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Value</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Qty</w:t>
            </w:r>
          </w:p>
        </w:tc>
        <w:tc>
          <w:tcPr>
            <w:tcW w:type="dxa" w:w="198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Value</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696,000.00000000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$695,304.00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862,283.12734000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$861,420.85</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514,437.67000000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$513,923.23</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468,956.57332000</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$468,487.63</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8.61419000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$638,234.50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8.21129000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$627,251.20</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0.00163000</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$3.69</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Arbitrum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0.05000000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$113.05</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3,447,932.04000000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$3,444,484.31</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3,611,231.50280000</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$3,607,620.27</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$6.55</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113.14583000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$43.62</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3,477.35300000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$3,476.85</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0.23422000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$19.50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Polygon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30.19967000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$2.87</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5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$5,296,495.93</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8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$5,564,827.30</w:t>
            </w:r>
          </w:p>
        </w:tc>
      </w:tr>
    </w:tbl>
    <w:p>
      <w:pPr>
        <w:spacing w:before="360" w:after="120"/>
      </w:pPr>
      <w:r>
        <w:rPr>
          <w:rFonts w:ascii="Arial" w:hAnsi="Arial"/>
          <w:rFonts w:ascii="Arial" w:hAnsi="Arial" w:cs="Arial"/>
          <w:b/>
          <w:i w:val="0"/>
          <w:color w:val="0A2342"/>
          <w:sz w:val="28"/>
        </w:rPr>
        <w:t>C. 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D.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134"/>
        <w:gridCol w:w="1587"/>
        <w:gridCol w:w="1361"/>
        <w:gridCol w:w="1474"/>
        <w:gridCol w:w="1361"/>
        <w:gridCol w:w="1474"/>
        <w:gridCol w:w="1020"/>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$225,000.00</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64"/>
        <w:gridCol w:w="2381"/>
        <w:gridCol w:w="1757"/>
        <w:gridCol w:w="1644"/>
        <w:gridCol w:w="1757"/>
        <w:gridCol w:w="1701"/>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38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38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360" w:after="120"/>
      </w:pPr>
      <w:r>
        <w:rPr>
          <w:rFonts w:ascii="Arial" w:hAnsi="Arial"/>
          <w:rFonts w:ascii="Arial" w:hAnsi="Arial" w:cs="Arial"/>
          <w:b/>
          <w:i w:val="0"/>
          <w:color w:val="0A2342"/>
          <w:sz w:val="28"/>
        </w:rPr>
        <w:t>E. Fee</w:t>
      </w:r>
    </w:p>
    <w:p>
      <w:pPr>
        <w:spacing w:before="0" w:after="120"/>
      </w:pPr>
      <w:r>
        <w:rPr>
          <w:rFonts w:ascii="Arial" w:hAnsi="Arial"/>
          <w:rFonts w:ascii="Arial" w:hAnsi="Arial" w:cs="Arial"/>
          <w:b w:val="0"/>
          <w:i w:val="0"/>
          <w:color w:val="4A5568"/>
          <w:sz w:val="18"/>
        </w:rPr>
        <w:t>Fees charged during the statement period. All fees are invoiced in USD off-statement (deducted via separate invoice).</w:t>
      </w:r>
    </w:p>
    <w:tbl>
      <w:tblPr>
        <w:tblW w:type="auto" w:w="0"/>
        <w:jc w:val="left"/>
        <w:tblLayout w:type="fixed"/>
        <w:tblLook w:firstColumn="1" w:firstRow="1" w:lastColumn="0" w:lastRow="0" w:noHBand="0" w:noVBand="1" w:val="04A0"/>
      </w:tblPr>
      <w:tblGrid>
        <w:gridCol w:w="1644"/>
        <w:gridCol w:w="3061"/>
        <w:gridCol w:w="3742"/>
        <w:gridCol w:w="1757"/>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Fee Type</w:t>
            </w:r>
          </w:p>
        </w:tc>
        <w:tc>
          <w:tcPr>
            <w:tcW w:type="dxa" w:w="30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Rate / Schedule</w:t>
            </w:r>
          </w:p>
        </w:tc>
        <w:tc>
          <w:tcPr>
            <w:tcW w:type="dxa" w:w="3742"/>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Basis</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Amount (USD)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7"/>
              </w:rPr>
              <w:t>Custody fee</w:t>
            </w:r>
          </w:p>
        </w:tc>
        <w:tc>
          <w:tcPr>
            <w:tcW w:type="dxa" w:w="3061"/>
            <w:tcBorders>
              <w:bottom w:val="single" w:sz="4" w:color="D0D5DD"/>
            </w:tcBorders>
            <w:vAlign w:val="center"/>
          </w:tcPr>
          <w:p>
            <w:pPr>
              <w:spacing w:before="40" w:after="40"/>
            </w:pPr>
            <w:r>
              <w:rPr>
                <w:rFonts w:ascii="Arial" w:hAnsi="Arial"/>
                <w:rFonts w:ascii="Arial" w:hAnsi="Arial" w:cs="Arial"/>
                <w:b w:val="0"/>
                <w:i w:val="0"/>
                <w:color w:val="4A5568"/>
                <w:sz w:val="17"/>
              </w:rPr>
              <w:t>0.25% p.a. (25 bps), calculated on daily AUC</w:t>
            </w:r>
          </w:p>
        </w:tc>
        <w:tc>
          <w:tcPr>
            <w:tcW w:type="dxa" w:w="3742"/>
            <w:tcBorders>
              <w:bottom w:val="single" w:sz="4" w:color="D0D5DD"/>
            </w:tcBorders>
            <w:vAlign w:val="center"/>
          </w:tcPr>
          <w:p>
            <w:pPr>
              <w:spacing w:before="40" w:after="40"/>
            </w:pPr>
            <w:r>
              <w:rPr>
                <w:rFonts w:ascii="Arial" w:hAnsi="Arial"/>
                <w:rFonts w:ascii="Arial" w:hAnsi="Arial" w:cs="Arial"/>
                <w:b w:val="0"/>
                <w:i w:val="0"/>
                <w:color w:val="4A5568"/>
                <w:sz w:val="17"/>
              </w:rPr>
              <w:t>Avg daily AUC $760,425.18 over 01 Apr 2026 – 30 Apr 2026 (30 days)</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7"/>
              </w:rPr>
              <w:t>$156.25</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Withdrawal fee</w:t>
            </w:r>
          </w:p>
        </w:tc>
        <w:tc>
          <w:tcPr>
            <w:tcW w:type="dxa" w:w="30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Per-withdrawal flat fee, varies by chain</w:t>
            </w:r>
          </w:p>
        </w:tc>
        <w:tc>
          <w:tcPr>
            <w:tcW w:type="dxa" w:w="374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12 withdrawals (Bitcoin 3 · Ethereum 4 · Tron 5)</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$69.97</w:t>
            </w:r>
          </w:p>
        </w:tc>
      </w:tr>
      <w:tr>
        <w:tc>
          <w:tcPr>
            <w:tcW w:type="dxa" w:w="164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w:t>
            </w:r>
          </w:p>
        </w:tc>
        <w:tc>
          <w:tcPr>
            <w:tcW w:type="dxa" w:w="306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3742"/>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$226.22</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