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Provider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Hex Trust Loans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515"/>
        <w:gridCol w:w="6690"/>
      </w:tblGrid>
      <w:tr>
        <w:trPr>
          <w:trHeight w:val="420" w:hRule="atLeast"/>
        </w:trPr>
        <w:tc>
          <w:tcPr>
            <w:tcW w:type="dxa" w:w="351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69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690"/>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(Detailed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Per-position detail with collateral location, margin and liquidation thresholds, period interest (accrued / paid / outstanding) and any margin events.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417"/>
        <w:gridCol w:w="1417"/>
        <w:gridCol w:w="1417"/>
        <w:gridCol w:w="1304"/>
        <w:gridCol w:w="1644"/>
        <w:gridCol w:w="794"/>
        <w:gridCol w:w="1304"/>
        <w:gridCol w:w="90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LN-B-2026-0418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Collateral location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Held in segregated vault under client Enterprise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Margin call trigger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LTV ≥ 80%</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Liquidation threshold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LTV ≥ 85%</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8.50% Variable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Maturity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Open-ended</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417"/>
        <w:gridCol w:w="1644"/>
        <w:gridCol w:w="1417"/>
        <w:gridCol w:w="1417"/>
        <w:gridCol w:w="1077"/>
        <w:gridCol w:w="1644"/>
        <w:gridCol w:w="158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LN-L-2026-0218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Asset custody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Asset transferred to Hex Trust; returned at maturity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4.25% Fixed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Term</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90 days (fixed)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Days to maturity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 19 days</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Roll-over</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Manual — instructions required 7 days prior to maturity</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57"/>
        <w:gridCol w:w="1757"/>
        <w:gridCol w:w="1757"/>
        <w:gridCol w:w="1644"/>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Borrow interest accrues daily on outstanding principal at the stated rate. For variable-rate borrows, rate may change intra-period; figures shown are the time-weighted total for the period. Lend interest accrues daily on the lent quantity and is paid in-kind at maturity.</w:t>
      </w:r>
    </w:p>
    <w:p>
      <w:pPr>
        <w:spacing w:before="360" w:after="120"/>
      </w:pPr>
      <w:r>
        <w:rPr>
          <w:rFonts w:ascii="Arial" w:hAnsi="Arial"/>
          <w:rFonts w:ascii="Arial" w:hAnsi="Arial" w:cs="Arial"/>
          <w:b/>
          <w:i w:val="0"/>
          <w:color w:val="0A2342"/>
          <w:sz w:val="28"/>
        </w:rPr>
        <w:t>D. Margin &amp; collateral events</w:t>
      </w:r>
    </w:p>
    <w:tbl>
      <w:tblPr>
        <w:tblW w:type="auto" w:w="0"/>
        <w:jc w:val="left"/>
        <w:tblLayout w:type="fixed"/>
        <w:tblLook w:firstColumn="1" w:firstRow="1" w:lastColumn="0" w:lastRow="0" w:noHBand="0" w:noVBand="1" w:val="04A0"/>
      </w:tblPr>
      <w:tblGrid>
        <w:gridCol w:w="1757"/>
        <w:gridCol w:w="1531"/>
        <w:gridCol w:w="1531"/>
        <w:gridCol w:w="2551"/>
        <w:gridCol w:w="2835"/>
      </w:tblGrid>
      <w:tr>
        <w:trPr>
          <w:trHeight w:val="420" w:hRule="atLeast"/>
        </w:trPr>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Event</w:t>
            </w:r>
          </w:p>
        </w:tc>
        <w:tc>
          <w:tcPr>
            <w:tcW w:type="dxa" w:w="255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Trigger</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Action taken</w:t>
            </w:r>
          </w:p>
        </w:tc>
      </w:tr>
      <w:tr>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2026-04-12 09:14 UTC</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531"/>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551"/>
            <w:tcBorders>
              <w:bottom w:val="single" w:sz="4" w:color="D0D5DD"/>
            </w:tcBorders>
            <w:vAlign w:val="center"/>
          </w:tcPr>
          <w:p>
            <w:pPr>
              <w:spacing w:before="40" w:after="40"/>
            </w:pPr>
            <w:r>
              <w:rPr>
                <w:rFonts w:ascii="Arial" w:hAnsi="Arial"/>
                <w:rFonts w:ascii="Arial" w:hAnsi="Arial" w:cs="Arial"/>
                <w:b w:val="0"/>
                <w:i w:val="0"/>
                <w:color w:val="4A5568"/>
                <w:sz w:val="16"/>
              </w:rPr>
              <w:t>LTV reached 71.2% (amber zone, ≥ 70%)</w:t>
            </w:r>
          </w:p>
        </w:tc>
        <w:tc>
          <w:tcPr>
            <w:tcW w:type="dxa" w:w="2835"/>
            <w:tcBorders>
              <w:bottom w:val="single" w:sz="4" w:color="D0D5DD"/>
            </w:tcBorders>
            <w:vAlign w:val="center"/>
          </w:tcPr>
          <w:p>
            <w:pPr>
              <w:spacing w:before="40" w:after="40"/>
            </w:pPr>
            <w:r>
              <w:rPr>
                <w:rFonts w:ascii="Arial" w:hAnsi="Arial"/>
                <w:rFonts w:ascii="Arial" w:hAnsi="Arial" w:cs="Arial"/>
                <w:b w:val="0"/>
                <w:i w:val="0"/>
                <w:color w:val="4A5568"/>
                <w:sz w:val="16"/>
              </w:rPr>
              <w:t>Client notified via email; no top-up required</w:t>
            </w:r>
          </w:p>
        </w:tc>
      </w:tr>
      <w:tr>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2026-04-23 16:42 UTC</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55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LTV reached 74.7% (amber zone, ≥ 70%)</w:t>
            </w:r>
          </w:p>
        </w:tc>
        <w:tc>
          <w:tcPr>
            <w:tcW w:type="dxa" w:w="283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Client notified; collateral top-up recommended</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Margin call triggers at 80% (client must top up collateral or partially repay within 24 hours). Liquidation triggers at 85% (collateral sold to repay outstanding balance).</w:t>
      </w:r>
    </w:p>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Loans Ltd:</w:t>
      </w:r>
    </w:p>
    <w:p>
      <w:pPr>
        <w:spacing w:before="0" w:after="0"/>
      </w:pPr>
      <w:r>
        <w:rPr>
          <w:rFonts w:ascii="Arial" w:hAnsi="Arial"/>
          <w:rFonts w:ascii="Arial" w:hAnsi="Arial" w:cs="Arial"/>
          <w:b w:val="0"/>
          <w:i w:val="0"/>
          <w:color w:val="0A2342"/>
          <w:sz w:val="18"/>
        </w:rPr>
        <w:t>The client must review the information in the monthly statement and give the custodian written notice of any suspected error or omission as soon as reasonably possible (in any event, no later than 7 days of accessing / receiving the statement). The custodian will not be liable with respect to any error or omission in the monthly statement (including any reliance on any such error or omission) unless the client has timely objected in writing as aforementioned, unless such error or omission is the result of the custodian's bad faith or willful default.</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