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1984"/>
        <w:gridCol w:w="3118"/>
        <w:gridCol w:w="4762"/>
      </w:tblGrid>
      <w:tr>
        <w:trPr>
          <w:trHeight w:val="420" w:hRule="atLeast"/>
        </w:trPr>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11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76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76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76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118"/>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76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Statement Details</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020"/>
        <w:gridCol w:w="1814"/>
        <w:gridCol w:w="1701"/>
        <w:gridCol w:w="1587"/>
        <w:gridCol w:w="1701"/>
        <w:gridCol w:w="158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81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C.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D. Per-Vault Breakdown</w:t>
      </w:r>
    </w:p>
    <w:p>
      <w:pPr>
        <w:spacing w:before="240" w:after="80"/>
      </w:pPr>
      <w:r>
        <w:rPr>
          <w:rFonts w:ascii="Arial" w:hAnsi="Arial"/>
          <w:rFonts w:ascii="Arial" w:hAnsi="Arial" w:cs="Arial"/>
          <w:b/>
          <w:i w:val="0"/>
          <w:color w:val="0A2342"/>
          <w:sz w:val="22"/>
        </w:rPr>
        <w:t>Client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320,033.61111000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47,516.11243000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$319,877.11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23,550.66962000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71,951.34527000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48,400.67565000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$71,941.13</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0.00388594</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0.89976342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0.89587748</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$68,764.41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0.04075862</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0.04009069</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-0.00066793</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$90.64</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105.36293000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3,024.94519000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2,919.58226000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$3,024.51</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36.69408000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34.92115000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-1.77293000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$11.40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0.05754000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0.05755000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0.00001000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$4.78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-34,753.20481000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14:22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695,352.0000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$694,656.65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0x4f12...c8a3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0x9b27...d014</w:t>
              <w:br/>
              <w:t>OTC Trade #T-204602</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-$444,437.67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0.00007965 ETH ($0.18)</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0x771a...e0d3</w:t>
              <w:br/>
              <w:t>OTC Trade #T-204602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bc1q...m9zd</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11:08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-7.6830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-$586,539.45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bc1q...nf02</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0.91000000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$69,546.75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bc1q...p9wq</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17:01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-0.01115782</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-$852.85</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0.00000830 BTC ($0.06)</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bc1q...t44k</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 22:09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48,400.6523</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$48,395.81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0xe88b...1c40</w:t>
              <w:br/>
              <w:t>OTC Trade #T-204687</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(3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3</w:t>
            </w:r>
          </w:p>
        </w:tc>
      </w:tr>
    </w:tbl>
    <w:p>
      <w:pPr>
        <w:spacing w:before="240" w:after="80"/>
      </w:pPr>
      <w:r>
        <w:rPr>
          <w:rFonts w:ascii="Arial" w:hAnsi="Arial"/>
          <w:rFonts w:ascii="Arial" w:hAnsi="Arial" w:cs="Arial"/>
          <w:b/>
          <w:i w:val="0"/>
          <w:color w:val="0A2342"/>
          <w:sz w:val="22"/>
        </w:rPr>
        <w:t>Gas Station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0.00227378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$5.14</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Babylon</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0.00200700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02:30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0.10000000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$226.10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0x2a55...09bd</w:t>
              <w:br/>
              <w:t>Top-up from Markets Settlement</w:t>
            </w:r>
          </w:p>
        </w:tc>
      </w:tr>
    </w:tbl>
    <w:p>
      <w:pPr>
        <w:spacing w:before="240" w:after="80"/>
      </w:pPr>
      <w:r>
        <w:rPr>
          <w:rFonts w:ascii="Arial" w:hAnsi="Arial"/>
          <w:rFonts w:ascii="Arial" w:hAnsi="Arial" w:cs="Arial"/>
          <w:b/>
          <w:i w:val="0"/>
          <w:color w:val="0A2342"/>
          <w:sz w:val="22"/>
        </w:rPr>
        <w:t>Markets Settlement Wallet  [Safe]</w:t>
      </w:r>
    </w:p>
    <w:p>
      <w:pPr>
        <w:spacing w:before="160" w:after="60"/>
      </w:pPr>
      <w:r>
        <w:rPr>
          <w:rFonts w:ascii="Arial" w:hAnsi="Arial"/>
          <w:rFonts w:ascii="Arial" w:hAnsi="Arial" w:cs="Arial"/>
          <w:b/>
          <w:i w:val="0"/>
          <w:color w:val="0F2A4D"/>
          <w:sz w:val="20"/>
        </w:rPr>
        <w:t>Opening / Closing balances</w:t>
      </w:r>
    </w:p>
    <w:tbl>
      <w:tblPr>
        <w:tblW w:type="auto" w:w="0"/>
        <w:jc w:val="left"/>
        <w:tblLayout w:type="fixed"/>
        <w:tblLook w:firstColumn="1" w:firstRow="1" w:lastColumn="0" w:lastRow="0" w:noHBand="0" w:noVBand="1" w:val="04A0"/>
      </w:tblPr>
      <w:tblGrid>
        <w:gridCol w:w="907"/>
        <w:gridCol w:w="1701"/>
        <w:gridCol w:w="1814"/>
        <w:gridCol w:w="1814"/>
        <w:gridCol w:w="1587"/>
        <w:gridCol w:w="2041"/>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Qty</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272,517.49868000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169,879.72865000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-102,637.77003000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$169,796.65</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105,308.87335000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102,389.29438000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-2,919.57897000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$102,374.77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149,682.95699000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21,136.69899000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-128,546.25800000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$21,126.36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0.00110855</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0.00106860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-0.00003995</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$81.66</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0.08953215</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0.08858655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-0.00094560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$200.30</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282.82180000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171.44890000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-111.37290000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$56.00</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0.23420000</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6"/>
              </w:rPr>
              <w:t>$19.48</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0.00000000</w:t>
            </w:r>
          </w:p>
        </w:tc>
        <w:tc>
          <w:tcPr>
            <w:tcW w:type="dxa" w:w="181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557.77069000</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$557.69</w:t>
            </w:r>
          </w:p>
        </w:tc>
      </w:tr>
    </w:tbl>
    <w:p>
      <w:pPr>
        <w:spacing w:before="160" w:after="60"/>
      </w:pPr>
      <w:r>
        <w:rPr>
          <w:rFonts w:ascii="Arial" w:hAnsi="Arial"/>
          <w:rFonts w:ascii="Arial" w:hAnsi="Arial" w:cs="Arial"/>
          <w:b/>
          <w:i w:val="0"/>
          <w:color w:val="0F2A4D"/>
          <w:sz w:val="20"/>
        </w:rPr>
        <w:t>Transactions</w:t>
      </w:r>
    </w:p>
    <w:tbl>
      <w:tblPr>
        <w:tblW w:type="auto" w:w="0"/>
        <w:jc w:val="left"/>
        <w:tblLayout w:type="fixed"/>
        <w:tblLook w:firstColumn="1" w:firstRow="1" w:lastColumn="0" w:lastRow="0" w:noHBand="0" w:noVBand="1" w:val="04A0"/>
      </w:tblPr>
      <w:tblGrid>
        <w:gridCol w:w="1587"/>
        <w:gridCol w:w="1361"/>
        <w:gridCol w:w="567"/>
        <w:gridCol w:w="1020"/>
        <w:gridCol w:w="1361"/>
        <w:gridCol w:w="1361"/>
        <w:gridCol w:w="1587"/>
        <w:gridCol w:w="1020"/>
      </w:tblGrid>
      <w:tr>
        <w:trPr>
          <w:trHeight w:val="420" w:hRule="atLeast"/>
        </w:trPr>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Fees</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2026-04-01 09:15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241,338.3100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$241,096.97</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TRX...8e1a</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-10,000.0000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-$9,990.00</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6.42850000 TRX ($2.10)</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TRX...3334</w:t>
              <w:br/>
              <w:t>OTC Trade #T-204598</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0x9b27...e2c1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 15:30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-1,580,219.0000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-$1,578,638.78</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TRX...4hxz</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-5,432.6556</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-$5,427.22</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TRX...4j9y</w:t>
              <w:br/>
              <w:t>OTC Trade #T-204603</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0xdkkn...1900</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-19,850.0000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-$19,845.04</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0.00015301 ETH ($0.35)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0x4jve...20e3</w:t>
              <w:br/>
              <w:t>OTC Trade #T-204614</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09:25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bc1q...p7zg</w:t>
            </w:r>
          </w:p>
        </w:tc>
      </w:tr>
      <w:tr>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-0.06418724</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-$4,902.51</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0.00003995 BTC ($3.05)</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5"/>
              </w:rPr>
              <w:t>bc1q...kfw1</w:t>
            </w:r>
          </w:p>
        </w:tc>
      </w:tr>
      <w:tr>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3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Market Settlement-Out</w:t>
            </w:r>
          </w:p>
        </w:tc>
        <w:tc>
          <w:tcPr>
            <w:tcW w:type="dxa" w:w="56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-919,475.2902</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-$918,555.81</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13.02850000 TRX ($4.25)</w:t>
            </w:r>
          </w:p>
        </w:tc>
        <w:tc>
          <w:tcPr>
            <w:tcW w:type="dxa" w:w="102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TRX...4mg3</w:t>
              <w:br/>
              <w:t>OTC Trade #T-204661</w:t>
            </w:r>
          </w:p>
        </w:tc>
      </w:tr>
    </w:tbl>
    <w:p>
      <w:pPr>
        <w:spacing w:before="160" w:after="60"/>
      </w:pPr>
      <w:r>
        <w:rPr>
          <w:rFonts w:ascii="Arial" w:hAnsi="Arial"/>
          <w:rFonts w:ascii="Arial" w:hAnsi="Arial" w:cs="Arial"/>
          <w:b/>
          <w:i w:val="0"/>
          <w:color w:val="0F2A4D"/>
          <w:sz w:val="20"/>
        </w:rPr>
        <w:t>NFT balance</w:t>
      </w:r>
    </w:p>
    <w:tbl>
      <w:tblPr>
        <w:tblW w:type="auto" w:w="0"/>
        <w:jc w:val="left"/>
        <w:tblLayout w:type="fixed"/>
        <w:tblLook w:firstColumn="1" w:firstRow="1" w:lastColumn="0" w:lastRow="0" w:noHBand="0" w:noVBand="1" w:val="04A0"/>
      </w:tblPr>
      <w:tblGrid>
        <w:gridCol w:w="5669"/>
        <w:gridCol w:w="2268"/>
        <w:gridCol w:w="1928"/>
      </w:tblGrid>
      <w:tr>
        <w:trPr>
          <w:trHeight w:val="420" w:hRule="atLeast"/>
        </w:trPr>
        <w:tc>
          <w:tcPr>
            <w:tcW w:type="dxa" w:w="566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928"/>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268"/>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1928"/>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669"/>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1928"/>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66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(5 NFT collections)</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928"/>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7</w:t>
            </w:r>
          </w:p>
        </w:tc>
      </w:tr>
    </w:tbl>
    <w:p>
      <w:pPr>
        <w:spacing w:before="160" w:after="60"/>
      </w:pPr>
      <w:r>
        <w:rPr>
          <w:rFonts w:ascii="Arial" w:hAnsi="Arial"/>
          <w:rFonts w:ascii="Arial" w:hAnsi="Arial" w:cs="Arial"/>
          <w:b/>
          <w:i w:val="0"/>
          <w:color w:val="0F2A4D"/>
          <w:sz w:val="20"/>
        </w:rPr>
        <w:t>Staking position</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20"/>
        <w:gridCol w:w="1814"/>
        <w:gridCol w:w="1247"/>
        <w:gridCol w:w="1247"/>
        <w:gridCol w:w="1134"/>
        <w:gridCol w:w="1247"/>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1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14"/>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34"/>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1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07"/>
        <w:gridCol w:w="2268"/>
        <w:gridCol w:w="1701"/>
        <w:gridCol w:w="1587"/>
        <w:gridCol w:w="1701"/>
        <w:gridCol w:w="158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268"/>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268"/>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268"/>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58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160" w:after="60"/>
      </w:pPr>
      <w:r>
        <w:rPr>
          <w:rFonts w:ascii="Arial" w:hAnsi="Arial"/>
          <w:rFonts w:ascii="Arial" w:hAnsi="Arial" w:cs="Arial"/>
          <w:b/>
          <w:i w:val="0"/>
          <w:color w:val="0F2A4D"/>
          <w:sz w:val="20"/>
        </w:rPr>
        <w:t>Staking transactions</w:t>
      </w:r>
    </w:p>
    <w:tbl>
      <w:tblPr>
        <w:tblW w:type="auto" w:w="0"/>
        <w:jc w:val="left"/>
        <w:tblLayout w:type="fixed"/>
        <w:tblLook w:firstColumn="1" w:firstRow="1" w:lastColumn="0" w:lastRow="0" w:noHBand="0" w:noVBand="1" w:val="04A0"/>
      </w:tblPr>
      <w:tblGrid>
        <w:gridCol w:w="1474"/>
        <w:gridCol w:w="1701"/>
        <w:gridCol w:w="680"/>
        <w:gridCol w:w="1020"/>
        <w:gridCol w:w="1247"/>
        <w:gridCol w:w="1247"/>
        <w:gridCol w:w="1701"/>
        <w:gridCol w:w="1361"/>
      </w:tblGrid>
      <w:tr>
        <w:trPr>
          <w:trHeight w:val="420" w:hRule="atLeast"/>
        </w:trPr>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Validator / Pool</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0x7e44...d910</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2026-04-07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0x7e44...d910</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0x83a1...b227</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2026-04-14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0x83a1...b227</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0.2110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$476.86</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0xc502...4f0e</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2026-04-21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0xc502...4f0e</w:t>
            </w:r>
          </w:p>
        </w:tc>
      </w:tr>
      <w:tr>
        <w:tc>
          <w:tcPr>
            <w:tcW w:type="dxa" w:w="1474"/>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tcBorders>
              <w:bottom w:val="single" w:sz="4" w:color="D0D5DD"/>
            </w:tcBorders>
            <w:vAlign w:val="center"/>
          </w:tcPr>
          <w:p>
            <w:pPr>
              <w:spacing w:before="40" w:after="40"/>
            </w:pPr>
            <w:r>
              <w:rPr>
                <w:rFonts w:ascii="Arial" w:hAnsi="Arial"/>
                <w:rFonts w:ascii="Arial" w:hAnsi="Arial" w:cs="Arial"/>
                <w:b w:val="0"/>
                <w:i w:val="0"/>
                <w:color w:val="4A5568"/>
                <w:sz w:val="16"/>
              </w:rPr>
              <w:t>Claiming Rewards</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0.2090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15803D"/>
                <w:sz w:val="16"/>
              </w:rPr>
              <w:t>$472.34</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0xd17a...8c0b</w:t>
            </w:r>
          </w:p>
        </w:tc>
      </w:tr>
      <w:tr>
        <w:tc>
          <w:tcPr>
            <w:tcW w:type="dxa" w:w="147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2026-04-28 00:00 UTC</w:t>
            </w:r>
          </w:p>
        </w:tc>
        <w:tc>
          <w:tcPr>
            <w:tcW w:type="dxa" w:w="170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Validator Commission</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-0.0020</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6"/>
              </w:rPr>
              <w:t>-$4.52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Kiln validator pool</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0xd17a...8c0b</w:t>
            </w:r>
          </w:p>
        </w:tc>
      </w:tr>
      <w:tr>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Net (8 txns)</w:t>
            </w:r>
          </w:p>
        </w:tc>
        <w:tc>
          <w:tcPr>
            <w:tcW w:type="dxa" w:w="170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0.8340</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$1,884.84</w:t>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r>
    </w:tbl>
    <w:p>
      <w:pPr>
        <w:spacing w:before="360" w:after="120"/>
      </w:pPr>
      <w:r>
        <w:rPr>
          <w:rFonts w:ascii="Arial" w:hAnsi="Arial"/>
          <w:rFonts w:ascii="Arial" w:hAnsi="Arial" w:cs="Arial"/>
          <w:b/>
          <w:i w:val="0"/>
          <w:color w:val="0A2342"/>
          <w:sz w:val="28"/>
        </w:rPr>
        <w:t>E. Pending Transactions</w:t>
      </w:r>
    </w:p>
    <w:p>
      <w:pPr>
        <w:spacing w:before="0" w:after="120"/>
      </w:pPr>
      <w:r>
        <w:rPr>
          <w:rFonts w:ascii="Arial" w:hAnsi="Arial"/>
          <w:rFonts w:ascii="Arial" w:hAnsi="Arial" w:cs="Arial"/>
          <w:b w:val="0"/>
          <w:i w:val="0"/>
          <w:color w:val="4A5568"/>
          <w:sz w:val="18"/>
        </w:rPr>
        <w:t>Custody transactions awaiting client action (currently: Travel Rule declaration) or internal approval.</w:t>
      </w:r>
    </w:p>
    <w:tbl>
      <w:tblPr>
        <w:tblW w:type="auto" w:w="0"/>
        <w:jc w:val="left"/>
        <w:tblLayout w:type="fixed"/>
        <w:tblLook w:firstColumn="1" w:firstRow="1" w:lastColumn="0" w:lastRow="0" w:noHBand="0" w:noVBand="1" w:val="04A0"/>
      </w:tblPr>
      <w:tblGrid>
        <w:gridCol w:w="1247"/>
        <w:gridCol w:w="1474"/>
        <w:gridCol w:w="1134"/>
        <w:gridCol w:w="567"/>
        <w:gridCol w:w="907"/>
        <w:gridCol w:w="1134"/>
        <w:gridCol w:w="1247"/>
        <w:gridCol w:w="1020"/>
        <w:gridCol w:w="1701"/>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Vault</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56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Pending Reason</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2026-04-13 14:12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600,000.0000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$599,400.00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0x9b27...e2c1</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2026-04-20 17:22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753,430.0000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$752,676.57</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0xdkkn...1900</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2026-04-22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Transfer-In</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7.6800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$586,310.40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bc1q...m9zd</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Travel Rule declaration pending</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09:55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-0.50000000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-$38,212.50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W20260429-QR03</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18:42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Client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-$249,750.00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W20260430-MK87</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(1 of 2 signed)</w:t>
            </w:r>
          </w:p>
        </w:tc>
      </w:tr>
      <w:tr>
        <w:tc>
          <w:tcPr>
            <w:tcW w:type="dxa" w:w="124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22:15 UTC</w:t>
            </w:r>
          </w:p>
        </w:tc>
        <w:tc>
          <w:tcPr>
            <w:tcW w:type="dxa" w:w="147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Markets Settlement Wallet</w:t>
            </w:r>
          </w:p>
        </w:tc>
        <w:tc>
          <w:tcPr>
            <w:tcW w:type="dxa" w:w="1134"/>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Transfer-Out</w:t>
            </w:r>
          </w:p>
        </w:tc>
        <w:tc>
          <w:tcPr>
            <w:tcW w:type="dxa" w:w="56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90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-180,000.0000</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-$179,820.00</w:t>
            </w:r>
          </w:p>
        </w:tc>
        <w:tc>
          <w:tcPr>
            <w:tcW w:type="dxa" w:w="1020"/>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W20260430-CP12</w:t>
            </w:r>
          </w:p>
        </w:tc>
        <w:tc>
          <w:tcPr>
            <w:tcW w:type="dxa" w:w="170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B45309"/>
                <w:sz w:val="15"/>
              </w:rPr>
              <w:t>Quorum approval pending (0 of 2 signed)</w:t>
            </w:r>
          </w:p>
        </w:tc>
      </w:tr>
      <w:tr>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(6 pending)</w:t>
            </w:r>
          </w:p>
        </w:tc>
        <w:tc>
          <w:tcPr>
            <w:tcW w:type="dxa" w:w="147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56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$2,406,169.47</w:t>
            </w:r>
          </w:p>
        </w:tc>
        <w:tc>
          <w:tcPr>
            <w:tcW w:type="dxa" w:w="1020"/>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Note — Pending Transactions and Closing Balance Treatment:</w:t>
            </w:r>
          </w:p>
          <w:p>
            <w:pPr>
              <w:spacing w:before="80" w:after="40"/>
            </w:pPr>
            <w:r>
              <w:rPr>
                <w:rFonts w:ascii="Arial" w:hAnsi="Arial"/>
                <w:rFonts w:ascii="Arial" w:hAnsi="Arial" w:cs="Arial"/>
                <w:b/>
                <w:i w:val="0"/>
                <w:color w:val="0A2342"/>
                <w:sz w:val="18"/>
              </w:rPr>
              <w:t xml:space="preserve">•  Pending inbound (Transfer-In awaiting Travel Rule declaration): </w:t>
            </w:r>
            <w:r>
              <w:rPr>
                <w:rFonts w:ascii="Arial" w:hAnsi="Arial"/>
                <w:rFonts w:ascii="Arial" w:hAnsi="Arial" w:cs="Arial"/>
                <w:b w:val="0"/>
                <w:i w:val="0"/>
                <w:color w:val="0A2342"/>
                <w:sz w:val="18"/>
              </w:rPr>
              <w:t>Funds are received on-chain but are NOT yet included in the closing balances shown elsewhere on this statement. They will be added to the closing balance once the Travel Rule declaration is completed via the client portal.</w:t>
            </w:r>
          </w:p>
          <w:p>
            <w:pPr>
              <w:spacing w:before="80" w:after="40"/>
            </w:pPr>
            <w:r>
              <w:rPr>
                <w:rFonts w:ascii="Arial" w:hAnsi="Arial"/>
                <w:rFonts w:ascii="Arial" w:hAnsi="Arial" w:cs="Arial"/>
                <w:b/>
                <w:i w:val="0"/>
                <w:color w:val="0A2342"/>
                <w:sz w:val="18"/>
              </w:rPr>
              <w:t xml:space="preserve">•  Pending outbound (Transfer-Out awaiting maker-checker, compliance, or quorum approval): </w:t>
            </w:r>
            <w:r>
              <w:rPr>
                <w:rFonts w:ascii="Arial" w:hAnsi="Arial"/>
                <w:rFonts w:ascii="Arial" w:hAnsi="Arial" w:cs="Arial"/>
                <w:b w:val="0"/>
                <w:i w:val="0"/>
                <w:color w:val="0A2342"/>
                <w:sz w:val="18"/>
              </w:rPr>
              <w:t>The withdrawal has been initiated but not yet broadcast on-chain. Funds remain under custody and ARE still included in the closing balance until the withdrawal is executed.</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