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Assets Under Custody (AUC)</w:t>
      </w:r>
    </w:p>
    <w:p>
      <w:pPr>
        <w:spacing w:before="0" w:after="120"/>
      </w:pPr>
      <w:r>
        <w:rPr>
          <w:rFonts w:ascii="Arial" w:hAnsi="Arial"/>
          <w:rFonts w:ascii="Arial" w:hAnsi="Arial" w:cs="Arial"/>
          <w:b w:val="0"/>
          <w:i w:val="0"/>
          <w:color w:val="4A5568"/>
          <w:sz w:val="18"/>
        </w:rPr>
        <w:t>AUC = Spendable + Staked + Vesting balance across all vaults. Excludes lent assets and borrowed liabilities.</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Snapshot</w:t>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travel-rule declarations awaiting client action.</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Travel Rule</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Action required</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3 transaction(s) totalling $1,938,386.97 are flagged 'Travel Rule declaration pending'. Please resolve via the client portal.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Enterprise-level rolled-up custody balances across all vaults. Opening snapshot: 2026-03-31 23:59:59 UTC. Closing snapshot: 2026-04-30 23:59:59 UTC. No per-vault breakdown and no individual transaction lines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907"/>
        <w:gridCol w:w="1701"/>
        <w:gridCol w:w="1587"/>
        <w:gridCol w:w="1417"/>
        <w:gridCol w:w="1587"/>
        <w:gridCol w:w="1417"/>
        <w:gridCol w:w="124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Fiat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Fiat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-$165,866.46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+$45,585.23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+$33,872.24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+$4.31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+$113.01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-$163,125.36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-$38.04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+$3,476.84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+$2.87</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-$245,024.85</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07"/>
        <w:gridCol w:w="1701"/>
        <w:gridCol w:w="1814"/>
        <w:gridCol w:w="1701"/>
        <w:gridCol w:w="1814"/>
        <w:gridCol w:w="192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Fiat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Fiat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p>
      <w:pPr>
        <w:spacing w:before="0" w:after="120"/>
      </w:pPr>
      <w:r>
        <w:rPr>
          <w:rFonts w:ascii="Arial" w:hAnsi="Arial"/>
          <w:rFonts w:ascii="Arial" w:hAnsi="Arial" w:cs="Arial"/>
          <w:b w:val="0"/>
          <w:i w:val="0"/>
          <w:color w:val="4A5568"/>
          <w:sz w:val="18"/>
        </w:rPr>
        <w:t>Aggregate NFT holdings across all vaults at end of period. NFTs are listed by collection/name; quantities only (no fiat valuation).</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 Sub-section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907"/>
        <w:gridCol w:w="2494"/>
        <w:gridCol w:w="2041"/>
        <w:gridCol w:w="2381"/>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(period)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38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 ETH</w:t>
              <w:br/>
              <w:t>$18.08</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587"/>
        <w:gridCol w:w="2948"/>
        <w:gridCol w:w="3628"/>
        <w:gridCol w:w="1701"/>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294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62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2948"/>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628"/>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294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62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294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62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