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01 May 2026</w:t>
      </w:r>
    </w:p>
    <w:p>
      <w:pPr>
        <w:spacing w:before="0" w:after="0"/>
      </w:pPr>
      <w:r>
        <w:rPr>
          <w:rFonts w:ascii="Arial" w:hAnsi="Arial"/>
          <w:rFonts w:ascii="Arial" w:hAnsi="Arial" w:cs="Arial"/>
          <w:b/>
          <w:i w:val="0"/>
          <w:color w:val="0A2342"/>
          <w:sz w:val="84"/>
        </w:rPr>
        <w:t>Loan</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Provider</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Hex Trust Loans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w:t>
            </w:r>
          </w:p>
        </w:tc>
      </w:tr>
    </w:tbl>
    <w:p>
      <w:pPr>
        <w:spacing w:before="360" w:after="120"/>
      </w:pPr>
      <w:r>
        <w:rPr>
          <w:rFonts w:ascii="Arial" w:hAnsi="Arial"/>
          <w:rFonts w:ascii="Arial" w:hAnsi="Arial" w:cs="Arial"/>
          <w:b/>
          <w:i w:val="0"/>
          <w:color w:val="0A2342"/>
          <w:sz w:val="28"/>
        </w:rPr>
        <w:t>B. Loans — open positions at period end</w:t>
      </w:r>
    </w:p>
    <w:tbl>
      <w:tblPr>
        <w:tblW w:type="auto" w:w="0"/>
        <w:jc w:val="left"/>
        <w:tblLayout w:type="fixed"/>
        <w:tblLook w:firstColumn="1" w:firstRow="1" w:lastColumn="0" w:lastRow="0" w:noHBand="0" w:noVBand="1" w:val="04A0"/>
      </w:tblPr>
      <w:tblGrid>
        <w:gridCol w:w="3515"/>
        <w:gridCol w:w="6690"/>
      </w:tblGrid>
      <w:tr>
        <w:trPr>
          <w:trHeight w:val="420" w:hRule="atLeast"/>
        </w:trPr>
        <w:tc>
          <w:tcPr>
            <w:tcW w:type="dxa" w:w="351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669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Open borrowing positions</w:t>
            </w:r>
          </w:p>
        </w:tc>
        <w:tc>
          <w:tcPr>
            <w:tcW w:type="dxa" w:w="6690"/>
            <w:tcBorders>
              <w:bottom w:val="single" w:sz="4" w:color="D0D5DD"/>
            </w:tcBorders>
            <w:vAlign w:val="center"/>
          </w:tcPr>
          <w:p>
            <w:pPr>
              <w:spacing w:before="40" w:after="40"/>
              <w:jc w:val="right"/>
            </w:pPr>
            <w:r>
              <w:rPr>
                <w:rFonts w:ascii="Arial" w:hAnsi="Arial"/>
                <w:rFonts w:ascii="Arial" w:hAnsi="Arial" w:cs="Arial"/>
                <w:b w:val="0"/>
                <w:i w:val="0"/>
                <w:color w:val="4A5568"/>
                <w:sz w:val="17"/>
              </w:rPr>
              <w:t>1  (Borrowed: $2,000,000.00  ·  Collateral posted: $2,676,577.50)</w:t>
            </w:r>
          </w:p>
        </w:tc>
      </w:tr>
      <w:tr>
        <w:tc>
          <w:tcPr>
            <w:tcW w:type="dxa" w:w="351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Open lending positions</w:t>
            </w:r>
          </w:p>
        </w:tc>
        <w:tc>
          <w:tcPr>
            <w:tcW w:type="dxa" w:w="669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  (Lent: $226,000.00)</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Net loan position (Lent − Borrowed)</w:t>
            </w:r>
          </w:p>
        </w:tc>
        <w:tc>
          <w:tcPr>
            <w:tcW w:type="dxa" w:w="6690"/>
            <w:tcBorders>
              <w:bottom w:val="single" w:sz="4" w:color="D0D5DD"/>
            </w:tcBorders>
            <w:vAlign w:val="center"/>
          </w:tcPr>
          <w:p>
            <w:pPr>
              <w:spacing w:before="40" w:after="40"/>
              <w:jc w:val="right"/>
            </w:pPr>
            <w:r>
              <w:rPr>
                <w:rFonts w:ascii="Arial" w:hAnsi="Arial"/>
                <w:rFonts w:ascii="Arial" w:hAnsi="Arial" w:cs="Arial"/>
                <w:b/>
                <w:i w:val="0"/>
                <w:color w:val="B91C1C"/>
                <w:sz w:val="17"/>
              </w:rPr>
              <w:t>-$1,774,000.00</w:t>
            </w:r>
          </w:p>
        </w:tc>
      </w:tr>
      <w:tr>
        <w:tc>
          <w:tcPr>
            <w:tcW w:type="dxa" w:w="351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Borrow interest (accrued / paid this period)</w:t>
            </w:r>
          </w:p>
        </w:tc>
        <w:tc>
          <w:tcPr>
            <w:tcW w:type="dxa" w:w="6690"/>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91C1C"/>
                <w:sz w:val="17"/>
              </w:rPr>
              <w:t>Accrued $14,166.67  ·  Paid $14,166.67</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Lend interest (accrued this period / outstanding)</w:t>
            </w:r>
          </w:p>
        </w:tc>
        <w:tc>
          <w:tcPr>
            <w:tcW w:type="dxa" w:w="6690"/>
            <w:tcBorders>
              <w:bottom w:val="single" w:sz="4" w:color="D0D5DD"/>
            </w:tcBorders>
            <w:vAlign w:val="center"/>
          </w:tcPr>
          <w:p>
            <w:pPr>
              <w:spacing w:before="40" w:after="40"/>
              <w:jc w:val="right"/>
            </w:pPr>
            <w:r>
              <w:rPr>
                <w:rFonts w:ascii="Arial" w:hAnsi="Arial"/>
                <w:rFonts w:ascii="Arial" w:hAnsi="Arial" w:cs="Arial"/>
                <w:b/>
                <w:i w:val="0"/>
                <w:color w:val="15803D"/>
                <w:sz w:val="17"/>
              </w:rPr>
              <w:t>Accrued $800.42  ·  Outstanding $2,401.25</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Statement Details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Active borrowing and lending positions as at end of statement period. Snapshot taken at 2026-04-30 23:59:59 UTC. Per-position detail with collateral location, margin and liquidation thresholds, period interest (accrued / paid / outstanding) and any margin events. Per PRD v1 scope, full drawdown and repayment history is excluded (positions only).</w:t>
      </w:r>
    </w:p>
    <w:p>
      <w:pPr>
        <w:spacing w:before="360" w:after="120"/>
      </w:pPr>
      <w:r>
        <w:rPr>
          <w:rFonts w:ascii="Arial" w:hAnsi="Arial"/>
          <w:rFonts w:ascii="Arial" w:hAnsi="Arial" w:cs="Arial"/>
          <w:b/>
          <w:i w:val="0"/>
          <w:color w:val="0A2342"/>
          <w:sz w:val="28"/>
        </w:rPr>
        <w:t>A. Borrowing positions (client borrows from Hex Trust)</w:t>
      </w:r>
    </w:p>
    <w:tbl>
      <w:tblPr>
        <w:tblW w:type="auto" w:w="0"/>
        <w:jc w:val="left"/>
        <w:tblLayout w:type="fixed"/>
        <w:tblLook w:firstColumn="1" w:firstRow="1" w:lastColumn="0" w:lastRow="0" w:noHBand="0" w:noVBand="1" w:val="04A0"/>
      </w:tblPr>
      <w:tblGrid>
        <w:gridCol w:w="1417"/>
        <w:gridCol w:w="1417"/>
        <w:gridCol w:w="1417"/>
        <w:gridCol w:w="1304"/>
        <w:gridCol w:w="1644"/>
        <w:gridCol w:w="794"/>
        <w:gridCol w:w="1304"/>
        <w:gridCol w:w="907"/>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Borrowed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 Value (USD)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LTV</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 USDC</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35.0000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$2,676,577.50</w:t>
            </w:r>
          </w:p>
        </w:tc>
        <w:tc>
          <w:tcPr>
            <w:tcW w:type="dxa" w:w="794"/>
            <w:tcBorders>
              <w:bottom w:val="single" w:sz="4" w:color="D0D5DD"/>
            </w:tcBorders>
            <w:vAlign w:val="center"/>
          </w:tcPr>
          <w:p>
            <w:pPr>
              <w:spacing w:before="40" w:after="40"/>
              <w:jc w:val="right"/>
            </w:pPr>
            <w:r>
              <w:rPr>
                <w:rFonts w:ascii="Arial" w:hAnsi="Arial"/>
                <w:rFonts w:ascii="Arial" w:hAnsi="Arial" w:cs="Arial"/>
                <w:b/>
                <w:i w:val="0"/>
                <w:color w:val="B45309"/>
                <w:sz w:val="16"/>
              </w:rPr>
              <w:t>74.72%</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8.50% Variable</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2025-12-14</w:t>
            </w:r>
          </w:p>
        </w:tc>
      </w:tr>
    </w:tbl>
    <w:p>
      <w:pPr>
        <w:spacing w:before="240" w:after="80"/>
      </w:pPr>
      <w:r>
        <w:rPr>
          <w:rFonts w:ascii="Arial" w:hAnsi="Arial"/>
          <w:rFonts w:ascii="Arial" w:hAnsi="Arial" w:cs="Arial"/>
          <w:b/>
          <w:i w:val="0"/>
          <w:color w:val="0A2342"/>
          <w:sz w:val="22"/>
        </w:rPr>
        <w:t>Borrowing position 1 of 1 — LN-B-2026-0418</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Collateral location</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Held in segregated vault under client Enterprise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Margin call trigger</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LTV ≥ 80%</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Liquidation threshold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LTV ≥ 85%</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Rate type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8.50% Variable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Maturity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Open-ended</w:t>
            </w:r>
          </w:p>
        </w:tc>
      </w:tr>
    </w:tbl>
    <w:p>
      <w:pPr>
        <w:spacing w:before="0" w:after="40"/>
      </w:pPr>
      <w:r>
        <w:rPr>
          <w:rFonts w:ascii="Arial" w:hAnsi="Arial"/>
          <w:rFonts w:ascii="Arial" w:hAnsi="Arial" w:cs="Arial"/>
          <w:b w:val="0"/>
          <w:i w:val="0"/>
          <w:color w:val="4A5568"/>
          <w:sz w:val="4"/>
        </w:rPr>
      </w:r>
    </w:p>
    <w:p>
      <w:pPr>
        <w:spacing w:before="360" w:after="120"/>
      </w:pPr>
      <w:r>
        <w:rPr>
          <w:rFonts w:ascii="Arial" w:hAnsi="Arial"/>
          <w:rFonts w:ascii="Arial" w:hAnsi="Arial" w:cs="Arial"/>
          <w:b/>
          <w:i w:val="0"/>
          <w:color w:val="0A2342"/>
          <w:sz w:val="28"/>
        </w:rPr>
        <w:t>B. Lending positions (client lends to Hex Trust)</w:t>
      </w:r>
    </w:p>
    <w:tbl>
      <w:tblPr>
        <w:tblW w:type="auto" w:w="0"/>
        <w:jc w:val="left"/>
        <w:tblLayout w:type="fixed"/>
        <w:tblLook w:firstColumn="1" w:firstRow="1" w:lastColumn="0" w:lastRow="0" w:noHBand="0" w:noVBand="1" w:val="04A0"/>
      </w:tblPr>
      <w:tblGrid>
        <w:gridCol w:w="1417"/>
        <w:gridCol w:w="1644"/>
        <w:gridCol w:w="1417"/>
        <w:gridCol w:w="1417"/>
        <w:gridCol w:w="1077"/>
        <w:gridCol w:w="1644"/>
        <w:gridCol w:w="1587"/>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Asset Lent</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Term</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Maturity</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LN-L-2026-0218</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4.25% Fixed</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90 days</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2026-05-19</w:t>
            </w:r>
          </w:p>
        </w:tc>
      </w:tr>
    </w:tbl>
    <w:p>
      <w:pPr>
        <w:spacing w:before="240" w:after="80"/>
      </w:pPr>
      <w:r>
        <w:rPr>
          <w:rFonts w:ascii="Arial" w:hAnsi="Arial"/>
          <w:rFonts w:ascii="Arial" w:hAnsi="Arial" w:cs="Arial"/>
          <w:b/>
          <w:i w:val="0"/>
          <w:color w:val="0A2342"/>
          <w:sz w:val="22"/>
        </w:rPr>
        <w:t>Lending position 1 of 1 — LN-L-2026-0218</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Asset custody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Asset transferred to Hex Trust; returned at maturity</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Rate type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4.25% Fixed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Term</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90 days (fixed)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Days to maturity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 19 days</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Roll-over</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Manual — instructions required 7 days prior to maturity</w:t>
            </w:r>
          </w:p>
        </w:tc>
      </w:tr>
    </w:tbl>
    <w:p>
      <w:pPr>
        <w:spacing w:before="0" w:after="40"/>
      </w:pPr>
      <w:r>
        <w:rPr>
          <w:rFonts w:ascii="Arial" w:hAnsi="Arial"/>
          <w:rFonts w:ascii="Arial" w:hAnsi="Arial" w:cs="Arial"/>
          <w:b w:val="0"/>
          <w:i w:val="0"/>
          <w:color w:val="4A5568"/>
          <w:sz w:val="4"/>
        </w:rPr>
      </w:r>
    </w:p>
    <w:p>
      <w:pPr>
        <w:spacing w:before="360" w:after="120"/>
      </w:pPr>
      <w:r>
        <w:rPr>
          <w:rFonts w:ascii="Arial" w:hAnsi="Arial"/>
          <w:rFonts w:ascii="Arial" w:hAnsi="Arial" w:cs="Arial"/>
          <w:b/>
          <w:i w:val="0"/>
          <w:color w:val="0A2342"/>
          <w:sz w:val="28"/>
        </w:rPr>
        <w:t>C. Period interest (accrued, paid, outstanding)</w:t>
      </w:r>
    </w:p>
    <w:tbl>
      <w:tblPr>
        <w:tblW w:type="auto" w:w="0"/>
        <w:jc w:val="left"/>
        <w:tblLayout w:type="fixed"/>
        <w:tblLook w:firstColumn="1" w:firstRow="1" w:lastColumn="0" w:lastRow="0" w:noHBand="0" w:noVBand="1" w:val="04A0"/>
      </w:tblPr>
      <w:tblGrid>
        <w:gridCol w:w="1247"/>
        <w:gridCol w:w="794"/>
        <w:gridCol w:w="1247"/>
        <w:gridCol w:w="1757"/>
        <w:gridCol w:w="1757"/>
        <w:gridCol w:w="1757"/>
        <w:gridCol w:w="1644"/>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Accrued (period)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Paid (period)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Outstanding</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Settlement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LN-B-2026-0418</w:t>
            </w:r>
          </w:p>
        </w:tc>
        <w:tc>
          <w:tcPr>
            <w:tcW w:type="dxa" w:w="794"/>
            <w:tcBorders>
              <w:bottom w:val="single" w:sz="4" w:color="D0D5DD"/>
            </w:tcBorders>
            <w:vAlign w:val="center"/>
          </w:tcPr>
          <w:p>
            <w:pPr>
              <w:spacing w:before="40" w:after="40"/>
            </w:pPr>
            <w:r>
              <w:rPr>
                <w:rFonts w:ascii="Arial" w:hAnsi="Arial"/>
                <w:rFonts w:ascii="Arial" w:hAnsi="Arial" w:cs="Arial"/>
                <w:b/>
                <w:i w:val="0"/>
                <w:color w:val="B91C1C"/>
                <w:sz w:val="15"/>
              </w:rPr>
              <w:t>Borrow</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8.50% Variable</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0.00 USDC (—)</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Auto-debit from borrowed asset balance, end of each month</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LN-L-2026-0218</w:t>
            </w:r>
          </w:p>
        </w:tc>
        <w:tc>
          <w:tcPr>
            <w:tcW w:type="dxa" w:w="794"/>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Lend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4.25% Fixed</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0.354167 ETH ($800.42)</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 ETH (—)</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1.062500 ETH ($2,401.25)</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Paid in-kind at maturity (2026-05-19)</w:t>
            </w:r>
          </w:p>
        </w:tc>
      </w:tr>
    </w:tbl>
    <w:p>
      <w:pPr>
        <w:spacing w:before="0" w:after="80"/>
      </w:pPr>
      <w:r>
        <w:rPr>
          <w:rFonts w:ascii="Arial" w:hAnsi="Arial"/>
          <w:rFonts w:ascii="Arial" w:hAnsi="Arial" w:cs="Arial"/>
          <w:b w:val="0"/>
          <w:i/>
          <w:color w:val="4A5568"/>
          <w:sz w:val="16"/>
        </w:rPr>
        <w:t>Borrow interest accrues daily on outstanding principal at the stated rate. For variable-rate borrows, rate may change intra-period; figures shown are the time-weighted total for the period. Lend interest accrues daily on the lent quantity and is paid in-kind at maturity.</w:t>
      </w:r>
    </w:p>
    <w:p>
      <w:pPr>
        <w:spacing w:before="360" w:after="120"/>
      </w:pPr>
      <w:r>
        <w:rPr>
          <w:rFonts w:ascii="Arial" w:hAnsi="Arial"/>
          <w:rFonts w:ascii="Arial" w:hAnsi="Arial" w:cs="Arial"/>
          <w:b/>
          <w:i w:val="0"/>
          <w:color w:val="0A2342"/>
          <w:sz w:val="28"/>
        </w:rPr>
        <w:t>D. Margin &amp; collateral events</w:t>
      </w:r>
    </w:p>
    <w:tbl>
      <w:tblPr>
        <w:tblW w:type="auto" w:w="0"/>
        <w:jc w:val="left"/>
        <w:tblLayout w:type="fixed"/>
        <w:tblLook w:firstColumn="1" w:firstRow="1" w:lastColumn="0" w:lastRow="0" w:noHBand="0" w:noVBand="1" w:val="04A0"/>
      </w:tblPr>
      <w:tblGrid>
        <w:gridCol w:w="1757"/>
        <w:gridCol w:w="1531"/>
        <w:gridCol w:w="1531"/>
        <w:gridCol w:w="2551"/>
        <w:gridCol w:w="2835"/>
      </w:tblGrid>
      <w:tr>
        <w:trPr>
          <w:trHeight w:val="420" w:hRule="atLeast"/>
        </w:trPr>
        <w:tc>
          <w:tcPr>
            <w:tcW w:type="dxa" w:w="175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Event</w:t>
            </w:r>
          </w:p>
        </w:tc>
        <w:tc>
          <w:tcPr>
            <w:tcW w:type="dxa" w:w="255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Trigger</w:t>
            </w:r>
          </w:p>
        </w:tc>
        <w:tc>
          <w:tcPr>
            <w:tcW w:type="dxa" w:w="283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Action taken</w:t>
            </w:r>
          </w:p>
        </w:tc>
      </w:tr>
      <w:tr>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2026-04-12 09:14 UTC</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531"/>
            <w:tcBorders>
              <w:bottom w:val="single" w:sz="4" w:color="D0D5DD"/>
            </w:tcBorders>
            <w:vAlign w:val="center"/>
          </w:tcPr>
          <w:p>
            <w:pPr>
              <w:spacing w:before="40" w:after="40"/>
            </w:pPr>
            <w:r>
              <w:rPr>
                <w:rFonts w:ascii="Arial" w:hAnsi="Arial"/>
                <w:rFonts w:ascii="Arial" w:hAnsi="Arial" w:cs="Arial"/>
                <w:b/>
                <w:i w:val="0"/>
                <w:color w:val="B45309"/>
                <w:sz w:val="16"/>
              </w:rPr>
              <w:t>LTV warning</w:t>
            </w:r>
          </w:p>
        </w:tc>
        <w:tc>
          <w:tcPr>
            <w:tcW w:type="dxa" w:w="2551"/>
            <w:tcBorders>
              <w:bottom w:val="single" w:sz="4" w:color="D0D5DD"/>
            </w:tcBorders>
            <w:vAlign w:val="center"/>
          </w:tcPr>
          <w:p>
            <w:pPr>
              <w:spacing w:before="40" w:after="40"/>
            </w:pPr>
            <w:r>
              <w:rPr>
                <w:rFonts w:ascii="Arial" w:hAnsi="Arial"/>
                <w:rFonts w:ascii="Arial" w:hAnsi="Arial" w:cs="Arial"/>
                <w:b w:val="0"/>
                <w:i w:val="0"/>
                <w:color w:val="4A5568"/>
                <w:sz w:val="16"/>
              </w:rPr>
              <w:t>LTV reached 71.2% (amber zone, ≥ 70%)</w:t>
            </w:r>
          </w:p>
        </w:tc>
        <w:tc>
          <w:tcPr>
            <w:tcW w:type="dxa" w:w="2835"/>
            <w:tcBorders>
              <w:bottom w:val="single" w:sz="4" w:color="D0D5DD"/>
            </w:tcBorders>
            <w:vAlign w:val="center"/>
          </w:tcPr>
          <w:p>
            <w:pPr>
              <w:spacing w:before="40" w:after="40"/>
            </w:pPr>
            <w:r>
              <w:rPr>
                <w:rFonts w:ascii="Arial" w:hAnsi="Arial"/>
                <w:rFonts w:ascii="Arial" w:hAnsi="Arial" w:cs="Arial"/>
                <w:b w:val="0"/>
                <w:i w:val="0"/>
                <w:color w:val="4A5568"/>
                <w:sz w:val="16"/>
              </w:rPr>
              <w:t>Client notified via email; no top-up required</w:t>
            </w:r>
          </w:p>
        </w:tc>
      </w:tr>
      <w:tr>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2026-04-23 16:42 UTC</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i w:val="0"/>
                <w:color w:val="B45309"/>
                <w:sz w:val="16"/>
              </w:rPr>
              <w:t>LTV warning</w:t>
            </w:r>
          </w:p>
        </w:tc>
        <w:tc>
          <w:tcPr>
            <w:tcW w:type="dxa" w:w="255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LTV reached 74.7% (amber zone, ≥ 70%)</w:t>
            </w:r>
          </w:p>
        </w:tc>
        <w:tc>
          <w:tcPr>
            <w:tcW w:type="dxa" w:w="283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Client notified; collateral top-up recommended</w:t>
            </w:r>
          </w:p>
        </w:tc>
      </w:tr>
    </w:tbl>
    <w:p>
      <w:pPr>
        <w:spacing w:before="0" w:after="80"/>
      </w:pPr>
      <w:r>
        <w:rPr>
          <w:rFonts w:ascii="Arial" w:hAnsi="Arial"/>
          <w:rFonts w:ascii="Arial" w:hAnsi="Arial" w:cs="Arial"/>
          <w:b w:val="0"/>
          <w:i/>
          <w:color w:val="4A5568"/>
          <w:sz w:val="16"/>
        </w:rPr>
        <w:t>LTV computed as borrowed_fiat ÷ collateral_fiat using closing-of-period prices. LTV thresholds: green &lt; 70%, amber 70–80%, red ≥ 80%. Margin call triggers at 80% (client must top up collateral or partially repay within 24 hours). Liquidation triggers at 85% (collateral sold to repay outstanding balance).</w:t>
      </w:r>
    </w:p>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Loans Ltd:</w:t>
      </w:r>
    </w:p>
    <w:p>
      <w:pPr>
        <w:spacing w:before="0" w:after="0"/>
      </w:pPr>
      <w:r>
        <w:rPr>
          <w:rFonts w:ascii="Arial" w:hAnsi="Arial"/>
          <w:rFonts w:ascii="Arial" w:hAnsi="Arial" w:cs="Arial"/>
          <w:b w:val="0"/>
          <w:i w:val="0"/>
          <w:color w:val="0A2342"/>
          <w:sz w:val="18"/>
        </w:rPr>
        <w:t>The client must review the information in the monthly statement and give the custodian written notice of any suspected error or omission as soon as reasonably possible (in any event, no later than 7 days of accessing / receiving the statement). The custodian will not be liable with respect to any error or omission in the monthly statement (including any reliance on any such error or omission) unless the client has timely objected in writing as aforementioned, unless such error or omission is the result of the custodian's bad faith or willful default.</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