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556"/>
        <w:gridCol w:w="4649"/>
      </w:tblGrid>
      <w:tr>
        <w:trPr>
          <w:trHeight w:val="420" w:hRule="atLeast"/>
        </w:trPr>
        <w:tc>
          <w:tcPr>
            <w:tcW w:type="dxa" w:w="555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64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55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64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55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64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55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64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OTC trade activity for the period, rolled up by trading pair. Settlement asset movements are recorded in the Custody section as Market Settlement-In / Market Settlement-Out and are not duplicated here. Individual trade detail is provided in the Detailed view.</w:t>
      </w:r>
    </w:p>
    <w:p>
      <w:pPr>
        <w:spacing w:before="360" w:after="120"/>
      </w:pPr>
      <w:r>
        <w:rPr>
          <w:rFonts w:ascii="Arial" w:hAnsi="Arial"/>
          <w:rFonts w:ascii="Arial" w:hAnsi="Arial" w:cs="Arial"/>
          <w:b/>
          <w:i w:val="0"/>
          <w:color w:val="0A2342"/>
          <w:sz w:val="28"/>
        </w:rPr>
        <w:t>Activity by Trading Pair</w:t>
      </w:r>
    </w:p>
    <w:tbl>
      <w:tblPr>
        <w:tblW w:type="auto" w:w="0"/>
        <w:jc w:val="left"/>
        <w:tblLayout w:type="fixed"/>
        <w:tblLook w:firstColumn="1" w:firstRow="1" w:lastColumn="0" w:lastRow="0" w:noHBand="0" w:noVBand="1" w:val="04A0"/>
      </w:tblPr>
      <w:tblGrid>
        <w:gridCol w:w="1304"/>
        <w:gridCol w:w="964"/>
        <w:gridCol w:w="1757"/>
        <w:gridCol w:w="1871"/>
        <w:gridCol w:w="1644"/>
        <w:gridCol w:w="1077"/>
        <w:gridCol w:w="1587"/>
      </w:tblGrid>
      <w:tr>
        <w:trPr>
          <w:trHeight w:val="420" w:hRule="atLeast"/>
        </w:trPr>
        <w:tc>
          <w:tcPr>
            <w:tcW w:type="dxa" w:w="130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96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 Trades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Gross Notional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Net Base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Avg Exec Price (USD)</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Unsettled</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BTC/USDC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$4,250,500.00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+52.3500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$81,191.00</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USDT/USDC</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$1,124,237.67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+1,124,000.0000 USDT</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$0.9994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ETH/USDC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3</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$478,000.00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B91C1C"/>
                <w:sz w:val="16"/>
              </w:rPr>
              <w:t>-30.0000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$4,243.33</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BTC/USDT</w:t>
            </w:r>
          </w:p>
        </w:tc>
        <w:tc>
          <w:tcPr>
            <w:tcW w:type="dxa" w:w="96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$240,320.00</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6"/>
              </w:rPr>
              <w:t>+3.0625 BTC</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$78,471.84</w:t>
            </w:r>
          </w:p>
        </w:tc>
        <w:tc>
          <w:tcPr>
            <w:tcW w:type="dxa" w:w="107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45309"/>
                <w:sz w:val="16"/>
              </w:rPr>
              <w:t>1</w:t>
            </w:r>
          </w:p>
        </w:tc>
      </w:tr>
      <w:tr>
        <w:tc>
          <w:tcPr>
            <w:tcW w:type="dxa" w:w="1304"/>
            <w:tcBorders>
              <w:bottom w:val="single" w:sz="4" w:color="D0D5DD"/>
            </w:tcBorders>
            <w:vAlign w:val="center"/>
          </w:tcPr>
          <w:p>
            <w:pPr>
              <w:spacing w:before="40" w:after="40"/>
            </w:pPr>
            <w:r>
              <w:rPr>
                <w:rFonts w:ascii="Arial" w:hAnsi="Arial"/>
                <w:rFonts w:ascii="Arial" w:hAnsi="Arial" w:cs="Arial"/>
                <w:b w:val="0"/>
                <w:i w:val="0"/>
                <w:color w:val="4A5568"/>
                <w:sz w:val="16"/>
              </w:rPr>
              <w:t>SOL/USDC</w:t>
            </w:r>
          </w:p>
        </w:tc>
        <w:tc>
          <w:tcPr>
            <w:tcW w:type="dxa" w:w="964"/>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$120,782.33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15803D"/>
                <w:sz w:val="16"/>
              </w:rPr>
              <w:t>+500.0000 SOL</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$241.56</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130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96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16</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$6,213,840.00</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w:t>
            </w:r>
          </w:p>
        </w:tc>
        <w:tc>
          <w:tcPr>
            <w:tcW w:type="dxa" w:w="107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14</w:t>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w:t>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10206"/>
      </w:tblGrid>
      <w:tr>
        <w:tc>
          <w:tcPr>
            <w:tcW w:type="dxa" w:w="1020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