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HexSafe MENA Limited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402"/>
        <w:gridCol w:w="6463"/>
      </w:tblGrid>
      <w:tr>
        <w:trPr>
          <w:trHeight w:val="420" w:hRule="atLeast"/>
        </w:trPr>
        <w:tc>
          <w:tcPr>
            <w:tcW w:type="dxa" w:w="340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463"/>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(Detailed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Per-position detail with collateral location, margin and liquidation thresholds, period interest (accrued / paid / outstanding) and any margin events.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361"/>
        <w:gridCol w:w="1361"/>
        <w:gridCol w:w="1361"/>
        <w:gridCol w:w="1247"/>
        <w:gridCol w:w="1587"/>
        <w:gridCol w:w="794"/>
        <w:gridCol w:w="1247"/>
        <w:gridCol w:w="90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LN-B-2026-0418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Collateral location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Held in segregated vault under client Enterprise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Margin call trigger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LTV ≥ 80%</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Liquidation threshold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LTV ≥ 85%</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8.50% Variable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Maturity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Open-ended</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361"/>
        <w:gridCol w:w="1587"/>
        <w:gridCol w:w="1361"/>
        <w:gridCol w:w="1361"/>
        <w:gridCol w:w="1020"/>
        <w:gridCol w:w="1587"/>
        <w:gridCol w:w="158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LN-L-2026-0218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Asset custody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Asset transferred to Hex Trust; returned at maturity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4.25% Fixed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Term</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90 days (fixed)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Days to maturity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 19 days</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Roll-over</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Manual — instructions required 7 days prior to maturity</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01"/>
        <w:gridCol w:w="1701"/>
        <w:gridCol w:w="1701"/>
        <w:gridCol w:w="1587"/>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Borrow interest accrues daily on outstanding principal at the stated rate. For variable-rate borrows, rate may change intra-period; figures shown are the time-weighted total for the period. Lend interest accrues daily on the lent quantity and is paid in-kind at maturity.</w:t>
      </w:r>
    </w:p>
    <w:p>
      <w:pPr>
        <w:spacing w:before="360" w:after="120"/>
      </w:pPr>
      <w:r>
        <w:rPr>
          <w:rFonts w:ascii="Arial" w:hAnsi="Arial"/>
          <w:rFonts w:ascii="Arial" w:hAnsi="Arial" w:cs="Arial"/>
          <w:b/>
          <w:i w:val="0"/>
          <w:color w:val="0A2342"/>
          <w:sz w:val="28"/>
        </w:rPr>
        <w:t>D. Margin &amp; collateral events</w:t>
      </w:r>
    </w:p>
    <w:tbl>
      <w:tblPr>
        <w:tblW w:type="auto" w:w="0"/>
        <w:jc w:val="left"/>
        <w:tblLayout w:type="fixed"/>
        <w:tblLook w:firstColumn="1" w:firstRow="1" w:lastColumn="0" w:lastRow="0" w:noHBand="0" w:noVBand="1" w:val="04A0"/>
      </w:tblPr>
      <w:tblGrid>
        <w:gridCol w:w="1701"/>
        <w:gridCol w:w="1474"/>
        <w:gridCol w:w="1474"/>
        <w:gridCol w:w="2494"/>
        <w:gridCol w:w="2835"/>
      </w:tblGrid>
      <w:tr>
        <w:trPr>
          <w:trHeight w:val="420" w:hRule="atLeast"/>
        </w:trPr>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Event</w:t>
            </w:r>
          </w:p>
        </w:tc>
        <w:tc>
          <w:tcPr>
            <w:tcW w:type="dxa" w:w="24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Trigger</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Action taken</w:t>
            </w:r>
          </w:p>
        </w:tc>
      </w:tr>
      <w:tr>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2026-04-12 09:14 UTC</w:t>
            </w:r>
          </w:p>
        </w:tc>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74"/>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494"/>
            <w:tcBorders>
              <w:bottom w:val="single" w:sz="4" w:color="D0D5DD"/>
            </w:tcBorders>
            <w:vAlign w:val="center"/>
          </w:tcPr>
          <w:p>
            <w:pPr>
              <w:spacing w:before="40" w:after="40"/>
            </w:pPr>
            <w:r>
              <w:rPr>
                <w:rFonts w:ascii="Arial" w:hAnsi="Arial"/>
                <w:rFonts w:ascii="Arial" w:hAnsi="Arial" w:cs="Arial"/>
                <w:b w:val="0"/>
                <w:i w:val="0"/>
                <w:color w:val="4A5568"/>
                <w:sz w:val="16"/>
              </w:rPr>
              <w:t>LTV reached 71.2% (amber zone, ≥ 70%)</w:t>
            </w:r>
          </w:p>
        </w:tc>
        <w:tc>
          <w:tcPr>
            <w:tcW w:type="dxa" w:w="2835"/>
            <w:tcBorders>
              <w:bottom w:val="single" w:sz="4" w:color="D0D5DD"/>
            </w:tcBorders>
            <w:vAlign w:val="center"/>
          </w:tcPr>
          <w:p>
            <w:pPr>
              <w:spacing w:before="40" w:after="40"/>
            </w:pPr>
            <w:r>
              <w:rPr>
                <w:rFonts w:ascii="Arial" w:hAnsi="Arial"/>
                <w:rFonts w:ascii="Arial" w:hAnsi="Arial" w:cs="Arial"/>
                <w:b w:val="0"/>
                <w:i w:val="0"/>
                <w:color w:val="4A5568"/>
                <w:sz w:val="16"/>
              </w:rPr>
              <w:t>Client notified via email; no top-up required</w:t>
            </w:r>
          </w:p>
        </w:tc>
      </w:tr>
      <w:tr>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2026-04-23 16:42 UTC</w:t>
            </w:r>
          </w:p>
        </w:tc>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49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LTV reached 74.7% (amber zone, ≥ 70%)</w:t>
            </w:r>
          </w:p>
        </w:tc>
        <w:tc>
          <w:tcPr>
            <w:tcW w:type="dxa" w:w="283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Client notified; collateral top-up recommended</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Margin call triggers at 80% (client must top up collateral or partially repay within 24 hours). Liquidation triggers at 85% (collateral sold to repay outstanding balance).</w:t>
      </w:r>
    </w:p>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