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HexSafe MENA Limited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402"/>
        <w:gridCol w:w="6463"/>
      </w:tblGrid>
      <w:tr>
        <w:trPr>
          <w:trHeight w:val="420" w:hRule="atLeast"/>
        </w:trPr>
        <w:tc>
          <w:tcPr>
            <w:tcW w:type="dxa" w:w="340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463"/>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Includes period interest accrued / paid / outstanding per loan.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361"/>
        <w:gridCol w:w="1361"/>
        <w:gridCol w:w="1361"/>
        <w:gridCol w:w="1247"/>
        <w:gridCol w:w="1587"/>
        <w:gridCol w:w="794"/>
        <w:gridCol w:w="1247"/>
        <w:gridCol w:w="90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361"/>
        <w:gridCol w:w="1587"/>
        <w:gridCol w:w="1361"/>
        <w:gridCol w:w="1361"/>
        <w:gridCol w:w="1020"/>
        <w:gridCol w:w="1587"/>
        <w:gridCol w:w="158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01"/>
        <w:gridCol w:w="1701"/>
        <w:gridCol w:w="1701"/>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Borrow interest accrues daily on outstanding principal; lend interest accrues daily and is paid in-kind at maturity.</w:t>
      </w:r>
    </w:p>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