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HexSafe MENA Limited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Generated On</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07 May 2026</w:t>
            </w:r>
          </w:p>
        </w:tc>
      </w:tr>
    </w:tbl>
    <w:p>
      <w:pPr>
        <w:spacing w:before="360" w:after="120"/>
      </w:pPr>
      <w:r>
        <w:rPr>
          <w:rFonts w:ascii="Arial" w:hAnsi="Arial"/>
          <w:rFonts w:ascii="Arial" w:hAnsi="Arial" w:cs="Arial"/>
          <w:b/>
          <w:i w:val="0"/>
          <w:color w:val="0A2342"/>
          <w:sz w:val="28"/>
        </w:rPr>
        <w:t>B. OTC Trading Activity (period)</w:t>
      </w:r>
    </w:p>
    <w:tbl>
      <w:tblPr>
        <w:tblW w:type="auto" w:w="0"/>
        <w:jc w:val="left"/>
        <w:tblLayout w:type="fixed"/>
        <w:tblLook w:firstColumn="1" w:firstRow="1" w:lastColumn="0" w:lastRow="0" w:noHBand="0" w:noVBand="1" w:val="04A0"/>
      </w:tblPr>
      <w:tblGrid>
        <w:gridCol w:w="5386"/>
        <w:gridCol w:w="4479"/>
      </w:tblGrid>
      <w:tr>
        <w:trPr>
          <w:trHeight w:val="420" w:hRule="atLeast"/>
        </w:trPr>
        <w:tc>
          <w:tcPr>
            <w:tcW w:type="dxa" w:w="538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47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38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47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38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47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38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47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38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47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pacing w:before="360" w:after="120"/>
      </w:pPr>
      <w:r>
        <w:rPr>
          <w:rFonts w:ascii="Arial" w:hAnsi="Arial"/>
          <w:rFonts w:ascii="Arial" w:hAnsi="Arial" w:cs="Arial"/>
          <w:b/>
          <w:i w:val="0"/>
          <w:color w:val="0A2342"/>
          <w:sz w:val="28"/>
        </w:rPr>
        <w:t>C. Pending Items</w:t>
      </w:r>
    </w:p>
    <w:p>
      <w:pPr>
        <w:spacing w:before="0" w:after="120"/>
      </w:pPr>
      <w:r>
        <w:rPr>
          <w:rFonts w:ascii="Arial" w:hAnsi="Arial"/>
          <w:rFonts w:ascii="Arial" w:hAnsi="Arial" w:cs="Arial"/>
          <w:b w:val="0"/>
          <w:i w:val="0"/>
          <w:color w:val="4A5568"/>
          <w:sz w:val="18"/>
        </w:rPr>
        <w:t>Open items at end of period: OTC trades pending settlement.</w:t>
      </w:r>
    </w:p>
    <w:tbl>
      <w:tblPr>
        <w:tblW w:type="auto" w:w="0"/>
        <w:jc w:val="left"/>
        <w:tblLayout w:type="fixed"/>
        <w:tblLook w:firstColumn="1" w:firstRow="1" w:lastColumn="0" w:lastRow="0" w:noHBand="0" w:noVBand="1" w:val="04A0"/>
      </w:tblPr>
      <w:tblGrid>
        <w:gridCol w:w="1587"/>
        <w:gridCol w:w="1814"/>
        <w:gridCol w:w="6463"/>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Topic</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Status</w:t>
            </w:r>
          </w:p>
        </w:tc>
        <w:tc>
          <w:tcPr>
            <w:tcW w:type="dxa" w:w="6463"/>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Summary</w:t>
            </w:r>
          </w:p>
        </w:tc>
      </w:tr>
      <w:tr>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OTC Settlement</w:t>
            </w:r>
          </w:p>
        </w:tc>
        <w:tc>
          <w:tcPr>
            <w:tcW w:type="dxa" w:w="1814"/>
            <w:shd w:val="clear" w:color="auto" w:fill="FEF3C7"/>
            <w:tcBorders>
              <w:bottom w:val="single" w:sz="4" w:color="D0D5DD"/>
            </w:tcBorders>
            <w:vAlign w:val="center"/>
          </w:tcPr>
          <w:p>
            <w:pPr>
              <w:spacing w:before="40" w:after="40"/>
            </w:pPr>
            <w:r>
              <w:rPr>
                <w:rFonts w:ascii="Arial" w:hAnsi="Arial"/>
                <w:rFonts w:ascii="Arial" w:hAnsi="Arial" w:cs="Arial"/>
                <w:b/>
                <w:i w:val="0"/>
                <w:color w:val="B45309"/>
                <w:sz w:val="17"/>
              </w:rPr>
              <w:t>● Pending settlement</w:t>
            </w:r>
          </w:p>
        </w:tc>
        <w:tc>
          <w:tcPr>
            <w:tcW w:type="dxa" w:w="6463"/>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2 OTC trade(s) totalling $367,520.00 are unsettled at end of period. Settlement is handled by Hex Trust — no client action required. See OTC Trading section for full detail.</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3 — OTC Trading (Simplified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OTC trade activity for the period, rolled up by trading pair. Settlement asset movements are recorded in the Custody section as Market Settlement-In / Market Settlement-Out and are not duplicated here. Individual trade detail is provided in the Detailed view.</w:t>
      </w:r>
    </w:p>
    <w:p>
      <w:pPr>
        <w:spacing w:before="360" w:after="120"/>
      </w:pPr>
      <w:r>
        <w:rPr>
          <w:rFonts w:ascii="Arial" w:hAnsi="Arial"/>
          <w:rFonts w:ascii="Arial" w:hAnsi="Arial" w:cs="Arial"/>
          <w:b/>
          <w:i w:val="0"/>
          <w:color w:val="0A2342"/>
          <w:sz w:val="28"/>
        </w:rPr>
        <w:t>Activity by Trading Pair</w:t>
      </w:r>
    </w:p>
    <w:tbl>
      <w:tblPr>
        <w:tblW w:type="auto" w:w="0"/>
        <w:jc w:val="left"/>
        <w:tblLayout w:type="fixed"/>
        <w:tblLook w:firstColumn="1" w:firstRow="1" w:lastColumn="0" w:lastRow="0" w:noHBand="0" w:noVBand="1" w:val="04A0"/>
      </w:tblPr>
      <w:tblGrid>
        <w:gridCol w:w="1247"/>
        <w:gridCol w:w="907"/>
        <w:gridCol w:w="1701"/>
        <w:gridCol w:w="1814"/>
        <w:gridCol w:w="1587"/>
        <w:gridCol w:w="1020"/>
        <w:gridCol w:w="1587"/>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 Trades</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Gross Notional (USD)</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Net Base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Avg Exec Price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Unsettled</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6"/>
              </w:rPr>
              <w:t>BTC/USDC</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$4,250,500.00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15803D"/>
                <w:sz w:val="16"/>
              </w:rPr>
              <w:t>+52.3500 BTC</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$81,191.00</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USDT/USDC</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$1,124,237.67</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+1,124,000.0000 USDT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$0.9994</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6"/>
              </w:rPr>
              <w:t>ETH/USDC</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3</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$478,000.00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B91C1C"/>
                <w:sz w:val="16"/>
              </w:rPr>
              <w:t>-30.0000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$4,243.33</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BTC/USDT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$240,320.00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+3.0625 BTC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$78,471.84</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6"/>
              </w:rPr>
              <w:t>SOL/USDC</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$120,782.33</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15803D"/>
                <w:sz w:val="16"/>
              </w:rPr>
              <w:t>+500.0000 SOL</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$241.56</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16</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$6,213,840.00</w:t>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14</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w:t>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9866"/>
      </w:tblGrid>
      <w:tr>
        <w:tc>
          <w:tcPr>
            <w:tcW w:type="dxa" w:w="986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