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Vault</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Assets Under Custody (AUC)</w:t>
      </w:r>
    </w:p>
    <w:p>
      <w:pPr>
        <w:spacing w:before="0" w:after="120"/>
      </w:pPr>
      <w:r>
        <w:rPr>
          <w:rFonts w:ascii="Arial" w:hAnsi="Arial"/>
          <w:rFonts w:ascii="Arial" w:hAnsi="Arial" w:cs="Arial"/>
          <w:b w:val="0"/>
          <w:i w:val="0"/>
          <w:color w:val="4A5568"/>
          <w:sz w:val="18"/>
        </w:rPr>
        <w:t>AUC = Spendable + Staked + Vesting balance across all vaults. Excludes lent assets and borrowed liabilities.</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Snapshot</w:t>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pacing w:before="360" w:after="120"/>
      </w:pPr>
      <w:r>
        <w:rPr>
          <w:rFonts w:ascii="Arial" w:hAnsi="Arial"/>
          <w:rFonts w:ascii="Arial" w:hAnsi="Arial" w:cs="Arial"/>
          <w:b/>
          <w:i w:val="0"/>
          <w:color w:val="0A2342"/>
          <w:sz w:val="28"/>
        </w:rPr>
        <w:t>C. OTC Trading Activity (period)</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pacing w:before="360" w:after="120"/>
      </w:pPr>
      <w:r>
        <w:rPr>
          <w:rFonts w:ascii="Arial" w:hAnsi="Arial"/>
          <w:rFonts w:ascii="Arial" w:hAnsi="Arial" w:cs="Arial"/>
          <w:b/>
          <w:i w:val="0"/>
          <w:color w:val="0A2342"/>
          <w:sz w:val="28"/>
        </w:rPr>
        <w:t>D.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bl>
    <w:p>
      <w:pPr>
        <w:spacing w:before="360" w:after="120"/>
      </w:pPr>
      <w:r>
        <w:rPr>
          <w:rFonts w:ascii="Arial" w:hAnsi="Arial"/>
          <w:rFonts w:ascii="Arial" w:hAnsi="Arial" w:cs="Arial"/>
          <w:b/>
          <w:i w:val="0"/>
          <w:color w:val="0A2342"/>
          <w:sz w:val="28"/>
        </w:rPr>
        <w:t>E. Pending Items</w:t>
      </w:r>
    </w:p>
    <w:p>
      <w:pPr>
        <w:spacing w:before="0" w:after="120"/>
      </w:pPr>
      <w:r>
        <w:rPr>
          <w:rFonts w:ascii="Arial" w:hAnsi="Arial"/>
          <w:rFonts w:ascii="Arial" w:hAnsi="Arial" w:cs="Arial"/>
          <w:b w:val="0"/>
          <w:i w:val="0"/>
          <w:color w:val="4A5568"/>
          <w:sz w:val="18"/>
        </w:rPr>
        <w:t>Open items at end of period: travel-rule declarations awaiting client action, and OTC trades pending settlement.</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Travel Rule</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Action required</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3 transaction(s) totalling $1,938,386.97 are flagged 'Travel Rule declaration pending'. Please resolve via the client portal.</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OTC Settlement</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Pending settlement</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2 OTC trade(s) totalling $367,520.00 are unsettled at end of period. Settlement is handled by Hex Trust — no client action required. See OTC Trading section for full detail.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Enterprise-level rolled-up custody balances across all vaults. Opening snapshot: 2026-03-31 23:59:59 UTC. Closing snapshot: 2026-04-30 23:59:59 UTC. No per-vault breakdown and no individual transaction lines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907"/>
        <w:gridCol w:w="1701"/>
        <w:gridCol w:w="1587"/>
        <w:gridCol w:w="1417"/>
        <w:gridCol w:w="1587"/>
        <w:gridCol w:w="1417"/>
        <w:gridCol w:w="124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Fiat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Fiat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-$165,866.46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+$45,585.23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+$33,872.24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+$4.31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+$113.01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-$163,125.36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-$38.04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+$3,476.84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+$2.87</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-$245,024.85</w:t>
            </w:r>
          </w:p>
        </w:tc>
      </w:tr>
    </w:tbl>
    <w:p>
      <w:pPr>
        <w:spacing w:before="360" w:after="120"/>
      </w:pPr>
      <w:r>
        <w:rPr>
          <w:rFonts w:ascii="Arial" w:hAnsi="Arial"/>
          <w:rFonts w:ascii="Arial" w:hAnsi="Arial" w:cs="Arial"/>
          <w:b/>
          <w:i w:val="0"/>
          <w:color w:val="0A2342"/>
          <w:sz w:val="28"/>
        </w:rPr>
        <w:t>B. NFT Balance</w:t>
      </w:r>
    </w:p>
    <w:p>
      <w:pPr>
        <w:spacing w:before="0" w:after="120"/>
      </w:pPr>
      <w:r>
        <w:rPr>
          <w:rFonts w:ascii="Arial" w:hAnsi="Arial"/>
          <w:rFonts w:ascii="Arial" w:hAnsi="Arial" w:cs="Arial"/>
          <w:b w:val="0"/>
          <w:i w:val="0"/>
          <w:color w:val="4A5568"/>
          <w:sz w:val="18"/>
        </w:rPr>
        <w:t>Aggregate NFT holdings across all vaults at end of period. NFTs are listed by collection/name; quantities only (no fiat valuation).</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 Sub-section</w:t>
      </w:r>
    </w:p>
    <w:tbl>
      <w:tblPr>
        <w:tblW w:type="auto" w:w="0"/>
        <w:jc w:val="left"/>
        <w:tblLayout w:type="fixed"/>
        <w:tblLook w:firstColumn="1" w:firstRow="1" w:lastColumn="0" w:lastRow="0" w:noHBand="0" w:noVBand="1" w:val="04A0"/>
      </w:tblPr>
      <w:tblGrid>
        <w:gridCol w:w="680"/>
        <w:gridCol w:w="1134"/>
        <w:gridCol w:w="1814"/>
        <w:gridCol w:w="1134"/>
        <w:gridCol w:w="1247"/>
        <w:gridCol w:w="1134"/>
        <w:gridCol w:w="1247"/>
        <w:gridCol w:w="1474"/>
      </w:tblGrid>
      <w:tr>
        <w:trPr>
          <w:trHeight w:val="420" w:hRule="atLeast"/>
        </w:trPr>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Provider / Pool</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Staked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Staked Fiat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Qty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Fiat</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w:t>
            </w:r>
          </w:p>
        </w:tc>
      </w:tr>
    </w:tbl>
    <w:p>
      <w:pPr>
        <w:spacing w:before="360" w:after="120"/>
      </w:pPr>
      <w:r>
        <w:rPr>
          <w:rFonts w:ascii="Arial" w:hAnsi="Arial"/>
          <w:rFonts w:ascii="Arial" w:hAnsi="Arial" w:cs="Arial"/>
          <w:b/>
          <w:i w:val="0"/>
          <w:color w:val="0A2342"/>
          <w:sz w:val="28"/>
        </w:rPr>
        <w:t>D. Fee</w:t>
      </w:r>
    </w:p>
    <w:p>
      <w:pPr>
        <w:spacing w:before="0" w:after="120"/>
      </w:pPr>
      <w:r>
        <w:rPr>
          <w:rFonts w:ascii="Arial" w:hAnsi="Arial"/>
          <w:rFonts w:ascii="Arial" w:hAnsi="Arial" w:cs="Arial"/>
          <w:b w:val="0"/>
          <w:i w:val="0"/>
          <w:color w:val="4A5568"/>
          <w:sz w:val="18"/>
        </w:rPr>
        <w:t>Fees charged during the statement period, disclosed in accordance with MAS Notice PSN04 fee transparency requirements. All fees are invoiced in USD off-statement (deducted via separate invoice).</w:t>
      </w:r>
    </w:p>
    <w:tbl>
      <w:tblPr>
        <w:tblW w:type="auto" w:w="0"/>
        <w:jc w:val="left"/>
        <w:tblLayout w:type="fixed"/>
        <w:tblLook w:firstColumn="1" w:firstRow="1" w:lastColumn="0" w:lastRow="0" w:noHBand="0" w:noVBand="1" w:val="04A0"/>
      </w:tblPr>
      <w:tblGrid>
        <w:gridCol w:w="1587"/>
        <w:gridCol w:w="2948"/>
        <w:gridCol w:w="3628"/>
        <w:gridCol w:w="1701"/>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294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62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2948"/>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628"/>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294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62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294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62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247"/>
        <w:gridCol w:w="907"/>
        <w:gridCol w:w="1701"/>
        <w:gridCol w:w="1814"/>
        <w:gridCol w:w="1587"/>
        <w:gridCol w:w="1020"/>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 PRD v1 scope, interest accrued or paid during the period is not shown on this statement; full drawdown / repayment history is excluded (open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Fiat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