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Assets Under Custody (AUC)</w:t>
      </w:r>
    </w:p>
    <w:tbl>
      <w:tblPr>
        <w:tblW w:type="auto" w:w="0"/>
        <w:jc w:val="left"/>
        <w:tblLayout w:type="fixed"/>
        <w:tblLook w:firstColumn="1" w:firstRow="1" w:lastColumn="0" w:lastRow="0" w:noHBand="0" w:noVBand="1" w:val="04A0"/>
      </w:tblPr>
      <w:tblGrid>
        <w:gridCol w:w="2041"/>
        <w:gridCol w:w="3231"/>
        <w:gridCol w:w="4932"/>
      </w:tblGrid>
      <w:tr>
        <w:trPr>
          <w:trHeight w:val="420" w:hRule="atLeast"/>
        </w:trPr>
        <w:tc>
          <w:tcPr>
            <w:tcW w:type="dxa" w:w="204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r>
          </w:p>
        </w:tc>
        <w:tc>
          <w:tcPr>
            <w:tcW w:type="dxa" w:w="32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93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2041"/>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231"/>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93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204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2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93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2041"/>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231"/>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93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Statement Details</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Opening &amp; Closing Balances per Asset</w:t>
      </w:r>
    </w:p>
    <w:tbl>
      <w:tblPr>
        <w:tblW w:type="auto" w:w="0"/>
        <w:jc w:val="left"/>
        <w:tblLayout w:type="fixed"/>
        <w:tblLook w:firstColumn="1" w:firstRow="1" w:lastColumn="0" w:lastRow="0" w:noHBand="0" w:noVBand="1" w:val="04A0"/>
      </w:tblPr>
      <w:tblGrid>
        <w:gridCol w:w="1134"/>
        <w:gridCol w:w="1984"/>
        <w:gridCol w:w="1871"/>
        <w:gridCol w:w="1701"/>
        <w:gridCol w:w="1871"/>
        <w:gridCol w:w="1644"/>
      </w:tblGrid>
      <w:tr>
        <w:trPr>
          <w:trHeight w:val="420" w:hRule="atLeast"/>
        </w:trPr>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r>
      <w:tr>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98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r>
    </w:tbl>
    <w:p>
      <w:pPr>
        <w:spacing w:before="360" w:after="120"/>
      </w:pPr>
      <w:r>
        <w:rPr>
          <w:rFonts w:ascii="Arial" w:hAnsi="Arial"/>
          <w:rFonts w:ascii="Arial" w:hAnsi="Arial" w:cs="Arial"/>
          <w:b/>
          <w:i w:val="0"/>
          <w:color w:val="0A2342"/>
          <w:sz w:val="28"/>
        </w:rPr>
        <w:t>B. NFT Balance</w:t>
      </w:r>
    </w:p>
    <w:tbl>
      <w:tblPr>
        <w:tblW w:type="auto" w:w="0"/>
        <w:jc w:val="left"/>
        <w:tblLayout w:type="fixed"/>
        <w:tblLook w:firstColumn="1" w:firstRow="1" w:lastColumn="0" w:lastRow="0" w:noHBand="0" w:noVBand="1" w:val="04A0"/>
      </w:tblPr>
      <w:tblGrid>
        <w:gridCol w:w="5839"/>
        <w:gridCol w:w="2324"/>
        <w:gridCol w:w="2041"/>
      </w:tblGrid>
      <w:tr>
        <w:trPr>
          <w:trHeight w:val="420" w:hRule="atLeast"/>
        </w:trPr>
        <w:tc>
          <w:tcPr>
            <w:tcW w:type="dxa" w:w="583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32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32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C. Staking</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134"/>
        <w:gridCol w:w="1587"/>
        <w:gridCol w:w="1361"/>
        <w:gridCol w:w="1474"/>
        <w:gridCol w:w="1361"/>
        <w:gridCol w:w="1474"/>
        <w:gridCol w:w="1020"/>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6"/>
              </w:rPr>
              <w:t>$225,000.00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$225,000.00</w:t>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64"/>
        <w:gridCol w:w="2381"/>
        <w:gridCol w:w="1757"/>
        <w:gridCol w:w="1644"/>
        <w:gridCol w:w="1757"/>
        <w:gridCol w:w="1701"/>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38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381"/>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38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360" w:after="120"/>
      </w:pPr>
      <w:r>
        <w:rPr>
          <w:rFonts w:ascii="Arial" w:hAnsi="Arial"/>
          <w:rFonts w:ascii="Arial" w:hAnsi="Arial" w:cs="Arial"/>
          <w:b/>
          <w:i w:val="0"/>
          <w:color w:val="0A2342"/>
          <w:sz w:val="28"/>
        </w:rPr>
        <w:t>D. Per-Vault Breakdown</w:t>
      </w:r>
    </w:p>
    <w:p>
      <w:pPr>
        <w:spacing w:before="240" w:after="80"/>
      </w:pPr>
      <w:r>
        <w:rPr>
          <w:rFonts w:ascii="Arial" w:hAnsi="Arial"/>
          <w:rFonts w:ascii="Arial" w:hAnsi="Arial" w:cs="Arial"/>
          <w:b/>
          <w:i w:val="0"/>
          <w:color w:val="0A2342"/>
          <w:sz w:val="22"/>
        </w:rPr>
        <w:t>Client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587"/>
        <w:gridCol w:w="1587"/>
        <w:gridCol w:w="1928"/>
        <w:gridCol w:w="1587"/>
        <w:gridCol w:w="2608"/>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260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272,517.50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$272,244.98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320,033.61</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$319,877.11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23,550.67</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$23,527.12</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71,951.35</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$71,941.13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0.00388594</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$272.99</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0.89976342</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$68,764.41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0.040759</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$89.67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0.040091</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$90.64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105.36</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$105.36</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3,024.95</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$3,024.51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36.6941</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$12.11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34.9211</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$11.40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$4.79</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$4.78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$34,718.45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$330,975.47</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60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$463,713.98</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644"/>
        <w:gridCol w:w="1417"/>
        <w:gridCol w:w="567"/>
        <w:gridCol w:w="1077"/>
        <w:gridCol w:w="1417"/>
        <w:gridCol w:w="1417"/>
        <w:gridCol w:w="1644"/>
        <w:gridCol w:w="1020"/>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2026-04-01 14:22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695,352.0000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$694,656.65</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W20260401-4NH8</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W20260409-6BV3</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0.00008 ETH</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W20260413-8XK1</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2026-04-22 11:08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-7.6830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-$586,539.45</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W20260422-9CW7</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0.91000000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$69,546.75</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W20260423-2RP4</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2026-04-23 17:01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-0.01115782</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-$852.85</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0.0000083 BTC</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W20260423-7QY9</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2026-04-24 22:09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48,400.6523</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$48,395.81</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W20260424-5MK2</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839"/>
        <w:gridCol w:w="2324"/>
        <w:gridCol w:w="2041"/>
      </w:tblGrid>
      <w:tr>
        <w:trPr>
          <w:trHeight w:val="420" w:hRule="atLeast"/>
        </w:trPr>
        <w:tc>
          <w:tcPr>
            <w:tcW w:type="dxa" w:w="583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32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(3 NFT collections)</w:t>
            </w:r>
          </w:p>
        </w:tc>
        <w:tc>
          <w:tcPr>
            <w:tcW w:type="dxa" w:w="232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3</w:t>
            </w:r>
          </w:p>
        </w:tc>
      </w:tr>
    </w:tbl>
    <w:p>
      <w:pPr>
        <w:spacing w:before="240" w:after="80"/>
      </w:pPr>
      <w:r>
        <w:rPr>
          <w:rFonts w:ascii="Arial" w:hAnsi="Arial"/>
          <w:rFonts w:ascii="Arial" w:hAnsi="Arial" w:cs="Arial"/>
          <w:b/>
          <w:i w:val="0"/>
          <w:color w:val="0A2342"/>
          <w:sz w:val="22"/>
        </w:rPr>
        <w:t>Gas Station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587"/>
        <w:gridCol w:w="1587"/>
        <w:gridCol w:w="1928"/>
        <w:gridCol w:w="1587"/>
        <w:gridCol w:w="2608"/>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260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0.002274</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$5.00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0.002274</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$5.14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Babylon</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$5.00</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60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$5.14</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644"/>
        <w:gridCol w:w="1417"/>
        <w:gridCol w:w="567"/>
        <w:gridCol w:w="1077"/>
        <w:gridCol w:w="1417"/>
        <w:gridCol w:w="1417"/>
        <w:gridCol w:w="1644"/>
        <w:gridCol w:w="1020"/>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2026-04-15 02:30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0.10000000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$226.10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W20260415-8NF3</w:t>
            </w:r>
          </w:p>
        </w:tc>
      </w:tr>
    </w:tbl>
    <w:p>
      <w:pPr>
        <w:spacing w:before="240" w:after="80"/>
      </w:pPr>
      <w:r>
        <w:rPr>
          <w:rFonts w:ascii="Arial" w:hAnsi="Arial"/>
          <w:rFonts w:ascii="Arial" w:hAnsi="Arial" w:cs="Arial"/>
          <w:b/>
          <w:i w:val="0"/>
          <w:color w:val="0A2342"/>
          <w:sz w:val="22"/>
        </w:rPr>
        <w:t>Markets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587"/>
        <w:gridCol w:w="1587"/>
        <w:gridCol w:w="1928"/>
        <w:gridCol w:w="1587"/>
        <w:gridCol w:w="2608"/>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260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272,517.50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$272,244.98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169,879.73</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$169,796.65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105,308.87</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$105,203.56</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102,389.29</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$102,374.77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149,682.96</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$149,533.27</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21,136.70</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$21,126.36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0.00110855</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$77.88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0.0010686</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$81.66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0.089532</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$196.97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0.088587</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$200.30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282.8218</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$93.33</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171.4489</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$56.00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0.0999</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$19.48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$557.69</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$527,349.99</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60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$295,143.94</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644"/>
        <w:gridCol w:w="1417"/>
        <w:gridCol w:w="567"/>
        <w:gridCol w:w="1077"/>
        <w:gridCol w:w="1417"/>
        <w:gridCol w:w="1417"/>
        <w:gridCol w:w="1644"/>
        <w:gridCol w:w="1020"/>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2026-04-01 09:15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241,338.3100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$241,096.97</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W20260401-1DH6</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-$9,990.00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6.4285 TRX</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W20260402-3FG2</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2026-04-13 15:30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-1,580,219.0000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-$1,578,638.78</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 TRX</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W20260413-9PT5</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-5,432.6556</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-$5,427.22</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 TRX</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W20260415-4VR1</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-19,850.0000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-$19,845.04</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0.000153 ETH</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W20260420-2KW9</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09:25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W20260422-5GN3</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0.00003995 BTC</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W20260422-8LY6</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-919,475.2902</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-$918,555.81</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 TRX</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W20260428-3RM7</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839"/>
        <w:gridCol w:w="2324"/>
        <w:gridCol w:w="2041"/>
      </w:tblGrid>
      <w:tr>
        <w:trPr>
          <w:trHeight w:val="420" w:hRule="atLeast"/>
        </w:trPr>
        <w:tc>
          <w:tcPr>
            <w:tcW w:type="dxa" w:w="583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32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(5 NFT collections)</w:t>
            </w:r>
          </w:p>
        </w:tc>
        <w:tc>
          <w:tcPr>
            <w:tcW w:type="dxa" w:w="232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7</w:t>
            </w:r>
          </w:p>
        </w:tc>
      </w:tr>
    </w:tbl>
    <w:p>
      <w:pPr>
        <w:spacing w:before="160" w:after="60"/>
      </w:pPr>
      <w:r>
        <w:rPr>
          <w:rFonts w:ascii="Arial" w:hAnsi="Arial"/>
          <w:rFonts w:ascii="Arial" w:hAnsi="Arial" w:cs="Arial"/>
          <w:b/>
          <w:i w:val="0"/>
          <w:color w:val="0F2A4D"/>
          <w:sz w:val="20"/>
        </w:rPr>
        <w:t>Staking position</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134"/>
        <w:gridCol w:w="1587"/>
        <w:gridCol w:w="1361"/>
        <w:gridCol w:w="1474"/>
        <w:gridCol w:w="1361"/>
        <w:gridCol w:w="1474"/>
        <w:gridCol w:w="1020"/>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6"/>
              </w:rPr>
              <w:t>$225,000.00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$225,000.00</w:t>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64"/>
        <w:gridCol w:w="2381"/>
        <w:gridCol w:w="1757"/>
        <w:gridCol w:w="1644"/>
        <w:gridCol w:w="1757"/>
        <w:gridCol w:w="1701"/>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38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381"/>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38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160" w:after="60"/>
      </w:pPr>
      <w:r>
        <w:rPr>
          <w:rFonts w:ascii="Arial" w:hAnsi="Arial"/>
          <w:rFonts w:ascii="Arial" w:hAnsi="Arial" w:cs="Arial"/>
          <w:b/>
          <w:i w:val="0"/>
          <w:color w:val="0F2A4D"/>
          <w:sz w:val="20"/>
        </w:rPr>
        <w:t>Staking transactions</w:t>
      </w:r>
    </w:p>
    <w:tbl>
      <w:tblPr>
        <w:tblW w:type="auto" w:w="0"/>
        <w:jc w:val="left"/>
        <w:tblLayout w:type="fixed"/>
        <w:tblLook w:firstColumn="1" w:firstRow="1" w:lastColumn="0" w:lastRow="0" w:noHBand="0" w:noVBand="1" w:val="04A0"/>
      </w:tblPr>
      <w:tblGrid>
        <w:gridCol w:w="1417"/>
        <w:gridCol w:w="1644"/>
        <w:gridCol w:w="680"/>
        <w:gridCol w:w="1020"/>
        <w:gridCol w:w="1247"/>
        <w:gridCol w:w="1247"/>
        <w:gridCol w:w="1644"/>
        <w:gridCol w:w="1304"/>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Validator / Pool</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2026-04-03 09:12 UTC</w:t>
            </w:r>
          </w:p>
        </w:tc>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6"/>
              </w:rPr>
              <w:t>Stake</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$22,610.00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W20260403-1ST6</w:t>
            </w:r>
          </w:p>
        </w:tc>
      </w:tr>
      <w:tr>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2026-04-07 00:00 UTC</w:t>
            </w:r>
          </w:p>
        </w:tc>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W20260407-9KX2</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2026-04-14 00:00 UTC</w:t>
            </w:r>
          </w:p>
        </w:tc>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W20260414-2HM7</w:t>
            </w:r>
          </w:p>
        </w:tc>
      </w:tr>
      <w:tr>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2026-04-20 11:38 UTC</w:t>
            </w:r>
          </w:p>
        </w:tc>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Unstake</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-$22,610.00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W20260420-4UN3</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2026-04-21 00:00 UTC</w:t>
            </w:r>
          </w:p>
        </w:tc>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W20260421-7QR4</w:t>
            </w:r>
          </w:p>
        </w:tc>
      </w:tr>
      <w:tr>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2026-04-28 00:00 UTC</w:t>
            </w:r>
          </w:p>
        </w:tc>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0.2090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$472.34</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W20260428-5LP9</w:t>
            </w:r>
          </w:p>
        </w:tc>
      </w:tr>
      <w:tr>
        <w:tc>
          <w:tcPr>
            <w:tcW w:type="dxa" w:w="141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Net (6 txns)</w:t>
            </w:r>
          </w:p>
        </w:tc>
        <w:tc>
          <w:tcPr>
            <w:tcW w:type="dxa" w:w="164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0.8420</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360" w:after="120"/>
      </w:pPr>
      <w:r>
        <w:rPr>
          <w:rFonts w:ascii="Arial" w:hAnsi="Arial"/>
          <w:rFonts w:ascii="Arial" w:hAnsi="Arial" w:cs="Arial"/>
          <w:b/>
          <w:i w:val="0"/>
          <w:color w:val="0A2342"/>
          <w:sz w:val="28"/>
        </w:rPr>
        <w:t>E. Pending Transactions</w:t>
      </w:r>
    </w:p>
    <w:p>
      <w:pPr>
        <w:spacing w:before="0" w:after="120"/>
      </w:pPr>
      <w:r>
        <w:rPr>
          <w:rFonts w:ascii="Arial" w:hAnsi="Arial"/>
          <w:rFonts w:ascii="Arial" w:hAnsi="Arial" w:cs="Arial"/>
          <w:b w:val="0"/>
          <w:i w:val="0"/>
          <w:color w:val="4A5568"/>
          <w:sz w:val="18"/>
        </w:rPr>
        <w:t>Custody transactions awaiting client action (currently: Travel Rule declaration) or internal approval. Status shown is a snapshot at period end (2026-04-30 23:59:59 UTC) — items may have since been resolved.</w:t>
      </w:r>
    </w:p>
    <w:tbl>
      <w:tblPr>
        <w:tblW w:type="auto" w:w="0"/>
        <w:jc w:val="left"/>
        <w:tblLayout w:type="fixed"/>
        <w:tblLook w:firstColumn="1" w:firstRow="1" w:lastColumn="0" w:lastRow="0" w:noHBand="0" w:noVBand="1" w:val="04A0"/>
      </w:tblPr>
      <w:tblGrid>
        <w:gridCol w:w="1247"/>
        <w:gridCol w:w="1417"/>
        <w:gridCol w:w="1134"/>
        <w:gridCol w:w="567"/>
        <w:gridCol w:w="907"/>
        <w:gridCol w:w="1134"/>
        <w:gridCol w:w="1247"/>
        <w:gridCol w:w="1020"/>
        <w:gridCol w:w="1531"/>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Vault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c>
          <w:tcPr>
            <w:tcW w:type="dxa" w:w="153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Pending Reason</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09:55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-0.50000000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-$38,212.50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W20260429-QR03</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18:42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-$249,750.00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W20260430-MK87</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22:15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-180,000.0000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-$179,820.00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W20260430-CP12</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(0 of 2 signed)</w:t>
            </w:r>
          </w:p>
        </w:tc>
      </w:tr>
      <w:tr>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(6 pending)</w:t>
            </w:r>
          </w:p>
        </w:tc>
        <w:tc>
          <w:tcPr>
            <w:tcW w:type="dxa" w:w="141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56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$2,406,169.47</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3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10206"/>
      </w:tblGrid>
      <w:tr>
        <w:tc>
          <w:tcPr>
            <w:tcW w:type="dxa" w:w="1020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Note — Pending Transactions and Closing Balance Treatment:</w:t>
            </w:r>
          </w:p>
          <w:p>
            <w:pPr>
              <w:spacing w:before="80" w:after="40"/>
            </w:pPr>
            <w:r>
              <w:rPr>
                <w:rFonts w:ascii="Arial" w:hAnsi="Arial"/>
                <w:rFonts w:ascii="Arial" w:hAnsi="Arial" w:cs="Arial"/>
                <w:b/>
                <w:i w:val="0"/>
                <w:color w:val="0A2342"/>
                <w:sz w:val="18"/>
              </w:rPr>
              <w:t xml:space="preserve">•  Pending inbound (Transfer-In awaiting Travel Rule declaration): </w:t>
            </w:r>
            <w:r>
              <w:rPr>
                <w:rFonts w:ascii="Arial" w:hAnsi="Arial"/>
                <w:rFonts w:ascii="Arial" w:hAnsi="Arial" w:cs="Arial"/>
                <w:b w:val="0"/>
                <w:i w:val="0"/>
                <w:color w:val="0A2342"/>
                <w:sz w:val="18"/>
              </w:rPr>
              <w:t>Funds are received on-chain but are NOT yet included in the closing balances shown elsewhere on this statement. They will be added to the closing balance once the Travel Rule declaration is completed via the client portal.</w:t>
            </w:r>
          </w:p>
          <w:p>
            <w:pPr>
              <w:spacing w:before="80" w:after="40"/>
            </w:pPr>
            <w:r>
              <w:rPr>
                <w:rFonts w:ascii="Arial" w:hAnsi="Arial"/>
                <w:rFonts w:ascii="Arial" w:hAnsi="Arial" w:cs="Arial"/>
                <w:b/>
                <w:i w:val="0"/>
                <w:color w:val="0A2342"/>
                <w:sz w:val="18"/>
              </w:rPr>
              <w:t xml:space="preserve">•  Pending outbound (Transfer-Out awaiting maker-checker, compliance, or quorum approval): </w:t>
            </w:r>
            <w:r>
              <w:rPr>
                <w:rFonts w:ascii="Arial" w:hAnsi="Arial"/>
                <w:rFonts w:ascii="Arial" w:hAnsi="Arial" w:cs="Arial"/>
                <w:b w:val="0"/>
                <w:i w:val="0"/>
                <w:color w:val="0A2342"/>
                <w:sz w:val="18"/>
              </w:rPr>
              <w:t>The withdrawal has been initiated but not yet broadcast on-chain. Funds remain under custody and ARE still included in the closing balance until the withdrawal is executed.</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MENA FZE:</w:t>
      </w:r>
    </w:p>
    <w:p>
      <w:pPr>
        <w:spacing w:before="0" w:after="0"/>
      </w:pPr>
      <w:r>
        <w:rPr>
          <w:rFonts w:ascii="Arial" w:hAnsi="Arial"/>
          <w:rFonts w:ascii="Arial" w:hAnsi="Arial" w:cs="Arial"/>
          <w:b w:val="0"/>
          <w:i w:val="0"/>
          <w:color w:val="0A2342"/>
          <w:sz w:val="18"/>
        </w:rPr>
        <w:t>The client must review the information in the monthly statement and give Hex Trust MENA FZE written notice of any suspected error or omission as soon as reasonably possible (in any event, no later than 7 days of accessing / receiving the statement). Hex Trust MENA FZE will not be liable with respect to any error or omission in the monthly statement (including any reliance on any such error or omission) unless the client has timely objected in writing as aforementioned, unless such error or omission is the result of Hex Trust MENA FZE's bad faith or willful default. Hex Trust MENA FZE is regulated by the Virtual Assets Regulatory Authority (VARA), Dubai.</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