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402"/>
        <w:gridCol w:w="6463"/>
      </w:tblGrid>
      <w:tr>
        <w:trPr>
          <w:trHeight w:val="420" w:hRule="atLeast"/>
        </w:trPr>
        <w:tc>
          <w:tcPr>
            <w:tcW w:type="dxa" w:w="3402"/>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463"/>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Includes period interest accrued / paid / outstanding per loan.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361"/>
        <w:gridCol w:w="1361"/>
        <w:gridCol w:w="1361"/>
        <w:gridCol w:w="1247"/>
        <w:gridCol w:w="1587"/>
        <w:gridCol w:w="794"/>
        <w:gridCol w:w="1247"/>
        <w:gridCol w:w="90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361"/>
        <w:gridCol w:w="1587"/>
        <w:gridCol w:w="1361"/>
        <w:gridCol w:w="1361"/>
        <w:gridCol w:w="1020"/>
        <w:gridCol w:w="1587"/>
        <w:gridCol w:w="158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01"/>
        <w:gridCol w:w="1701"/>
        <w:gridCol w:w="1701"/>
        <w:gridCol w:w="1587"/>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Borrow interest accrues daily on outstanding principal; lend interest accrues daily and is paid in-kind at maturity.</w:t>
      </w:r>
    </w:p>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