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0"/>
      </w:pPr>
      <w:r>
        <w:rPr>
          <w:rFonts w:ascii="Arial" w:hAnsi="Arial"/>
          <w:rFonts w:ascii="Arial" w:hAnsi="Arial" w:cs="Arial"/>
          <w:b w:val="0"/>
          <w:i w:val="0"/>
          <w:color w:val="4A5568"/>
          <w:sz w:val="20"/>
        </w:rPr>
        <w:t>07 May 2026</w:t>
      </w:r>
    </w:p>
    <w:p>
      <w:pPr>
        <w:spacing w:before="0" w:after="0"/>
      </w:pPr>
      <w:r>
        <w:rPr>
          <w:rFonts w:ascii="Arial" w:hAnsi="Arial"/>
          <w:rFonts w:ascii="Arial" w:hAnsi="Arial" w:cs="Arial"/>
          <w:b/>
          <w:i w:val="0"/>
          <w:color w:val="0A2342"/>
          <w:sz w:val="84"/>
        </w:rPr>
        <w:t>Loan</w:t>
      </w:r>
    </w:p>
    <w:p>
      <w:pPr>
        <w:spacing w:before="0" w:after="280"/>
      </w:pPr>
      <w:r>
        <w:rPr>
          <w:rFonts w:ascii="Arial" w:hAnsi="Arial"/>
          <w:rFonts w:ascii="Arial" w:hAnsi="Arial" w:cs="Arial"/>
          <w:b/>
          <w:i w:val="0"/>
          <w:color w:val="0A2342"/>
          <w:sz w:val="84"/>
        </w:rPr>
        <w:t>Statement</w:t>
      </w:r>
    </w:p>
    <w:p>
      <w:pPr>
        <w:pBdr>
          <w:bottom w:val="single" w:sz="16" w:color="0A2342" w:space="1"/>
        </w:pBdr>
      </w:pPr>
      <w:r>
        <w:t xml:space="preserve"> </w:t>
      </w:r>
    </w:p>
    <w:p>
      <w:pPr>
        <w:spacing w:before="200" w:after="40"/>
      </w:pPr>
      <w:r>
        <w:rPr>
          <w:rFonts w:ascii="Arial" w:hAnsi="Arial"/>
          <w:rFonts w:ascii="Arial" w:hAnsi="Arial" w:cs="Arial"/>
          <w:b w:val="0"/>
          <w:i w:val="0"/>
          <w:color w:val="4A5568"/>
          <w:sz w:val="40"/>
        </w:rPr>
        <w:t>HT Markets MENA FZE</w:t>
      </w:r>
    </w:p>
    <w:p>
      <w:pPr>
        <w:spacing w:before="0" w:after="6400"/>
      </w:pPr>
      <w:r>
        <w:rPr>
          <w:rFonts w:ascii="Arial" w:hAnsi="Arial"/>
          <w:rFonts w:ascii="Arial" w:hAnsi="Arial" w:cs="Arial"/>
          <w:b w:val="0"/>
          <w:i w:val="0"/>
          <w:color w:val="4A5568"/>
          <w:sz w:val="22"/>
        </w:rPr>
        <w:t>01 Apr 2026 - 30 Apr 2026</w:t>
      </w:r>
    </w:p>
    <w:p>
      <w:pPr>
        <w:spacing w:before="6400" w:after="0"/>
      </w:pPr>
      <w:r>
        <w:rPr>
          <w:rFonts w:ascii="Arial" w:hAnsi="Arial"/>
          <w:rFonts w:ascii="Arial" w:hAnsi="Arial" w:cs="Arial"/>
          <w:b w:val="0"/>
          <w:i w:val="0"/>
          <w:color w:val="4A5568"/>
          <w:sz w:val="20"/>
        </w:rPr>
        <w:t>Custody  ·  Markets  ·  Asset Servicing</w:t>
      </w:r>
    </w:p>
    <w:p>
      <w:r>
        <w:br w:type="page"/>
      </w: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1 — Statement Summary</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Activity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360" w:after="120"/>
      </w:pPr>
      <w:r>
        <w:rPr>
          <w:rFonts w:ascii="Arial" w:hAnsi="Arial"/>
          <w:rFonts w:ascii="Arial" w:hAnsi="Arial" w:cs="Arial"/>
          <w:b/>
          <w:i w:val="0"/>
          <w:color w:val="0A2342"/>
          <w:sz w:val="28"/>
        </w:rPr>
        <w:t>A. Client Information</w:t>
      </w:r>
    </w:p>
    <w:tbl>
      <w:tblPr>
        <w:tblW w:type="auto" w:w="0"/>
        <w:tblLayout w:type="fixed"/>
        <w:tblLook w:firstColumn="1" w:firstRow="1" w:lastColumn="0" w:lastRow="0" w:noHBand="0" w:noVBand="1" w:val="04A0"/>
      </w:tblPr>
      <w:tblGrid>
        <w:gridCol w:w="3118"/>
        <w:gridCol w:w="6746"/>
      </w:tblGrid>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Legal Name</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HT Markets MENA FZE</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Enterprise Name</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HT Markets MENA FZE — Custody</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Enterprise ID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21a4bf26-8dcc-11ee-9b69-2346469ca27d</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Custodian</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Hex Trust MENA FZE</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Statement Period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01 Apr 2026 - 30 Apr 2026</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Reporting Currency</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USD (spot @ 23:59:59 UTC on last day of period)</w:t>
            </w:r>
          </w:p>
        </w:tc>
      </w:tr>
    </w:tbl>
    <w:p>
      <w:pPr>
        <w:spacing w:before="360" w:after="120"/>
      </w:pPr>
      <w:r>
        <w:rPr>
          <w:rFonts w:ascii="Arial" w:hAnsi="Arial"/>
          <w:rFonts w:ascii="Arial" w:hAnsi="Arial" w:cs="Arial"/>
          <w:b/>
          <w:i w:val="0"/>
          <w:color w:val="0A2342"/>
          <w:sz w:val="28"/>
        </w:rPr>
        <w:t>B. Loans — open positions at period end</w:t>
      </w:r>
    </w:p>
    <w:tbl>
      <w:tblPr>
        <w:tblW w:type="auto" w:w="0"/>
        <w:jc w:val="left"/>
        <w:tblLayout w:type="fixed"/>
        <w:tblLook w:firstColumn="1" w:firstRow="1" w:lastColumn="0" w:lastRow="0" w:noHBand="0" w:noVBand="1" w:val="04A0"/>
      </w:tblPr>
      <w:tblGrid>
        <w:gridCol w:w="3402"/>
        <w:gridCol w:w="6463"/>
      </w:tblGrid>
      <w:tr>
        <w:trPr>
          <w:trHeight w:val="420" w:hRule="atLeast"/>
        </w:trPr>
        <w:tc>
          <w:tcPr>
            <w:tcW w:type="dxa" w:w="3402"/>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Metric</w:t>
            </w:r>
          </w:p>
        </w:tc>
        <w:tc>
          <w:tcPr>
            <w:tcW w:type="dxa" w:w="6463"/>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w:t>
            </w:r>
          </w:p>
        </w:tc>
      </w:tr>
      <w:tr>
        <w:tc>
          <w:tcPr>
            <w:tcW w:type="dxa" w:w="3402"/>
            <w:tcBorders>
              <w:bottom w:val="single" w:sz="4" w:color="D0D5DD"/>
            </w:tcBorders>
            <w:vAlign w:val="center"/>
          </w:tcPr>
          <w:p>
            <w:pPr>
              <w:spacing w:before="40" w:after="40"/>
            </w:pPr>
            <w:r>
              <w:rPr>
                <w:rFonts w:ascii="Arial" w:hAnsi="Arial"/>
                <w:rFonts w:ascii="Arial" w:hAnsi="Arial" w:cs="Arial"/>
                <w:b w:val="0"/>
                <w:i w:val="0"/>
                <w:color w:val="4A5568"/>
                <w:sz w:val="17"/>
              </w:rPr>
              <w:t>Open borrowing positions</w:t>
            </w:r>
          </w:p>
        </w:tc>
        <w:tc>
          <w:tcPr>
            <w:tcW w:type="dxa" w:w="6463"/>
            <w:tcBorders>
              <w:bottom w:val="single" w:sz="4" w:color="D0D5DD"/>
            </w:tcBorders>
            <w:vAlign w:val="center"/>
          </w:tcPr>
          <w:p>
            <w:pPr>
              <w:spacing w:before="40" w:after="40"/>
              <w:jc w:val="right"/>
            </w:pPr>
            <w:r>
              <w:rPr>
                <w:rFonts w:ascii="Arial" w:hAnsi="Arial"/>
                <w:rFonts w:ascii="Arial" w:hAnsi="Arial" w:cs="Arial"/>
                <w:b w:val="0"/>
                <w:i w:val="0"/>
                <w:color w:val="4A5568"/>
                <w:sz w:val="17"/>
              </w:rPr>
              <w:t>1  (Borrowed: $2,000,000.00  ·  Collateral posted: $2,676,577.50)</w:t>
            </w:r>
          </w:p>
        </w:tc>
      </w:tr>
      <w:tr>
        <w:tc>
          <w:tcPr>
            <w:tcW w:type="dxa" w:w="3402"/>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Open lending positions</w:t>
            </w:r>
          </w:p>
        </w:tc>
        <w:tc>
          <w:tcPr>
            <w:tcW w:type="dxa" w:w="6463"/>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  (Lent: $226,000.00)</w:t>
            </w:r>
          </w:p>
        </w:tc>
      </w:tr>
      <w:tr>
        <w:tc>
          <w:tcPr>
            <w:tcW w:type="dxa" w:w="3402"/>
            <w:tcBorders>
              <w:bottom w:val="single" w:sz="4" w:color="D0D5DD"/>
            </w:tcBorders>
            <w:vAlign w:val="center"/>
          </w:tcPr>
          <w:p>
            <w:pPr>
              <w:spacing w:before="40" w:after="40"/>
            </w:pPr>
            <w:r>
              <w:rPr>
                <w:rFonts w:ascii="Arial" w:hAnsi="Arial"/>
                <w:rFonts w:ascii="Arial" w:hAnsi="Arial" w:cs="Arial"/>
                <w:b w:val="0"/>
                <w:i w:val="0"/>
                <w:color w:val="4A5568"/>
                <w:sz w:val="17"/>
              </w:rPr>
              <w:t>Net loan position (Lent − Borrowed)</w:t>
            </w:r>
          </w:p>
        </w:tc>
        <w:tc>
          <w:tcPr>
            <w:tcW w:type="dxa" w:w="6463"/>
            <w:tcBorders>
              <w:bottom w:val="single" w:sz="4" w:color="D0D5DD"/>
            </w:tcBorders>
            <w:vAlign w:val="center"/>
          </w:tcPr>
          <w:p>
            <w:pPr>
              <w:spacing w:before="40" w:after="40"/>
              <w:jc w:val="right"/>
            </w:pPr>
            <w:r>
              <w:rPr>
                <w:rFonts w:ascii="Arial" w:hAnsi="Arial"/>
                <w:rFonts w:ascii="Arial" w:hAnsi="Arial" w:cs="Arial"/>
                <w:b/>
                <w:i w:val="0"/>
                <w:color w:val="B91C1C"/>
                <w:sz w:val="17"/>
              </w:rPr>
              <w:t>-$1,774,000.00</w:t>
            </w:r>
          </w:p>
        </w:tc>
      </w:tr>
      <w:tr>
        <w:tc>
          <w:tcPr>
            <w:tcW w:type="dxa" w:w="3402"/>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Borrow interest (accrued / paid this period)</w:t>
            </w:r>
          </w:p>
        </w:tc>
        <w:tc>
          <w:tcPr>
            <w:tcW w:type="dxa" w:w="6463"/>
            <w:shd w:val="clear" w:color="auto" w:fill="F5F7FA"/>
            <w:tcBorders>
              <w:bottom w:val="single" w:sz="4" w:color="D0D5DD"/>
            </w:tcBorders>
            <w:vAlign w:val="center"/>
          </w:tcPr>
          <w:p>
            <w:pPr>
              <w:spacing w:before="40" w:after="40"/>
              <w:jc w:val="right"/>
            </w:pPr>
            <w:r>
              <w:rPr>
                <w:rFonts w:ascii="Arial" w:hAnsi="Arial"/>
                <w:rFonts w:ascii="Arial" w:hAnsi="Arial" w:cs="Arial"/>
                <w:b/>
                <w:i w:val="0"/>
                <w:color w:val="B91C1C"/>
                <w:sz w:val="17"/>
              </w:rPr>
              <w:t>Accrued $14,166.67  ·  Paid $14,166.67</w:t>
            </w:r>
          </w:p>
        </w:tc>
      </w:tr>
      <w:tr>
        <w:tc>
          <w:tcPr>
            <w:tcW w:type="dxa" w:w="3402"/>
            <w:tcBorders>
              <w:bottom w:val="single" w:sz="4" w:color="D0D5DD"/>
            </w:tcBorders>
            <w:vAlign w:val="center"/>
          </w:tcPr>
          <w:p>
            <w:pPr>
              <w:spacing w:before="40" w:after="40"/>
            </w:pPr>
            <w:r>
              <w:rPr>
                <w:rFonts w:ascii="Arial" w:hAnsi="Arial"/>
                <w:rFonts w:ascii="Arial" w:hAnsi="Arial" w:cs="Arial"/>
                <w:b w:val="0"/>
                <w:i w:val="0"/>
                <w:color w:val="4A5568"/>
                <w:sz w:val="17"/>
              </w:rPr>
              <w:t>Lend interest (accrued this period / outstanding)</w:t>
            </w:r>
          </w:p>
        </w:tc>
        <w:tc>
          <w:tcPr>
            <w:tcW w:type="dxa" w:w="6463"/>
            <w:tcBorders>
              <w:bottom w:val="single" w:sz="4" w:color="D0D5DD"/>
            </w:tcBorders>
            <w:vAlign w:val="center"/>
          </w:tcPr>
          <w:p>
            <w:pPr>
              <w:spacing w:before="40" w:after="40"/>
              <w:jc w:val="right"/>
            </w:pPr>
            <w:r>
              <w:rPr>
                <w:rFonts w:ascii="Arial" w:hAnsi="Arial"/>
                <w:rFonts w:ascii="Arial" w:hAnsi="Arial" w:cs="Arial"/>
                <w:b/>
                <w:i w:val="0"/>
                <w:color w:val="15803D"/>
                <w:sz w:val="17"/>
              </w:rPr>
              <w:t>Accrued $800.42  ·  Outstanding $2,401.25</w:t>
            </w:r>
          </w:p>
        </w:tc>
      </w:tr>
    </w:tbl>
    <w:p>
      <w:pPr>
        <w:sectPr>
          <w:pgSz w:w="11906" w:h="16838"/>
          <w:pgMar w:top="1134" w:right="1020" w:bottom="1134" w:left="1020" w:header="720" w:footer="720" w:gutter="0"/>
          <w:cols w:space="720"/>
          <w:docGrid w:linePitch="360"/>
        </w:sectPr>
      </w:pP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4 — Loans (Simplified View)</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Activity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0" w:after="120"/>
      </w:pPr>
      <w:r>
        <w:rPr>
          <w:rFonts w:ascii="Arial" w:hAnsi="Arial"/>
          <w:rFonts w:ascii="Arial" w:hAnsi="Arial" w:cs="Arial"/>
          <w:b w:val="0"/>
          <w:i w:val="0"/>
          <w:color w:val="4A5568"/>
          <w:sz w:val="18"/>
        </w:rPr>
        <w:t>Active borrowing and lending positions as at end of statement period. Snapshot taken at 2026-04-30 23:59:59 UTC. Includes period interest accrued / paid / outstanding per loan. Per PRD v1 scope, full drawdown and repayment history is excluded (positions only).</w:t>
      </w:r>
    </w:p>
    <w:p>
      <w:pPr>
        <w:spacing w:before="360" w:after="120"/>
      </w:pPr>
      <w:r>
        <w:rPr>
          <w:rFonts w:ascii="Arial" w:hAnsi="Arial"/>
          <w:rFonts w:ascii="Arial" w:hAnsi="Arial" w:cs="Arial"/>
          <w:b/>
          <w:i w:val="0"/>
          <w:color w:val="0A2342"/>
          <w:sz w:val="28"/>
        </w:rPr>
        <w:t>A. Borrowing positions (client borrows from Hex Trust)</w:t>
      </w:r>
    </w:p>
    <w:tbl>
      <w:tblPr>
        <w:tblW w:type="auto" w:w="0"/>
        <w:jc w:val="left"/>
        <w:tblLayout w:type="fixed"/>
        <w:tblLook w:firstColumn="1" w:firstRow="1" w:lastColumn="0" w:lastRow="0" w:noHBand="0" w:noVBand="1" w:val="04A0"/>
      </w:tblPr>
      <w:tblGrid>
        <w:gridCol w:w="1361"/>
        <w:gridCol w:w="1361"/>
        <w:gridCol w:w="1361"/>
        <w:gridCol w:w="1247"/>
        <w:gridCol w:w="1587"/>
        <w:gridCol w:w="794"/>
        <w:gridCol w:w="1247"/>
        <w:gridCol w:w="907"/>
      </w:tblGrid>
      <w:tr>
        <w:trPr>
          <w:trHeight w:val="420" w:hRule="atLeast"/>
        </w:trPr>
        <w:tc>
          <w:tcPr>
            <w:tcW w:type="dxa" w:w="136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Loan ID</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Borrowed</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 (USD)</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Collateral</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Collateral Value (USD)</w:t>
            </w:r>
          </w:p>
        </w:tc>
        <w:tc>
          <w:tcPr>
            <w:tcW w:type="dxa" w:w="79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LTV</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Rate</w:t>
            </w:r>
          </w:p>
        </w:tc>
        <w:tc>
          <w:tcPr>
            <w:tcW w:type="dxa" w:w="90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Opened</w:t>
            </w:r>
          </w:p>
        </w:tc>
      </w:tr>
      <w:tr>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6"/>
              </w:rPr>
              <w:t>LN-B-2026-0418</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2,000,000.00 USDC</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$2,000,000.00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35.0000 BTC</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$2,676,577.50</w:t>
            </w:r>
          </w:p>
        </w:tc>
        <w:tc>
          <w:tcPr>
            <w:tcW w:type="dxa" w:w="794"/>
            <w:tcBorders>
              <w:bottom w:val="single" w:sz="4" w:color="D0D5DD"/>
            </w:tcBorders>
            <w:vAlign w:val="center"/>
          </w:tcPr>
          <w:p>
            <w:pPr>
              <w:spacing w:before="40" w:after="40"/>
              <w:jc w:val="right"/>
            </w:pPr>
            <w:r>
              <w:rPr>
                <w:rFonts w:ascii="Arial" w:hAnsi="Arial"/>
                <w:rFonts w:ascii="Arial" w:hAnsi="Arial" w:cs="Arial"/>
                <w:b/>
                <w:i w:val="0"/>
                <w:color w:val="B45309"/>
                <w:sz w:val="16"/>
              </w:rPr>
              <w:t>74.72%</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8.50% Variable</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6"/>
              </w:rPr>
              <w:t>2025-12-14</w:t>
            </w:r>
          </w:p>
        </w:tc>
      </w:tr>
    </w:tbl>
    <w:p>
      <w:pPr>
        <w:spacing w:before="360" w:after="120"/>
      </w:pPr>
      <w:r>
        <w:rPr>
          <w:rFonts w:ascii="Arial" w:hAnsi="Arial"/>
          <w:rFonts w:ascii="Arial" w:hAnsi="Arial" w:cs="Arial"/>
          <w:b/>
          <w:i w:val="0"/>
          <w:color w:val="0A2342"/>
          <w:sz w:val="28"/>
        </w:rPr>
        <w:t>B. Lending positions (client lends to Hex Trust)</w:t>
      </w:r>
    </w:p>
    <w:tbl>
      <w:tblPr>
        <w:tblW w:type="auto" w:w="0"/>
        <w:jc w:val="left"/>
        <w:tblLayout w:type="fixed"/>
        <w:tblLook w:firstColumn="1" w:firstRow="1" w:lastColumn="0" w:lastRow="0" w:noHBand="0" w:noVBand="1" w:val="04A0"/>
      </w:tblPr>
      <w:tblGrid>
        <w:gridCol w:w="1361"/>
        <w:gridCol w:w="1587"/>
        <w:gridCol w:w="1361"/>
        <w:gridCol w:w="1361"/>
        <w:gridCol w:w="1020"/>
        <w:gridCol w:w="1587"/>
        <w:gridCol w:w="1587"/>
      </w:tblGrid>
      <w:tr>
        <w:trPr>
          <w:trHeight w:val="420" w:hRule="atLeast"/>
        </w:trPr>
        <w:tc>
          <w:tcPr>
            <w:tcW w:type="dxa" w:w="136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Loan ID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Asset Lent</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 (USD)</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Rate</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Term</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Opened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Maturity</w:t>
            </w:r>
          </w:p>
        </w:tc>
      </w:tr>
      <w:tr>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6"/>
              </w:rPr>
              <w:t>LN-L-2026-0218</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$226,000.00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4.25% Fixed</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6"/>
              </w:rPr>
              <w:t>90 days</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2026-02-18</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2026-05-19</w:t>
            </w:r>
          </w:p>
        </w:tc>
      </w:tr>
    </w:tbl>
    <w:p>
      <w:pPr>
        <w:spacing w:before="360" w:after="120"/>
      </w:pPr>
      <w:r>
        <w:rPr>
          <w:rFonts w:ascii="Arial" w:hAnsi="Arial"/>
          <w:rFonts w:ascii="Arial" w:hAnsi="Arial" w:cs="Arial"/>
          <w:b/>
          <w:i w:val="0"/>
          <w:color w:val="0A2342"/>
          <w:sz w:val="28"/>
        </w:rPr>
        <w:t>C. Period interest (accrued, paid, outstanding)</w:t>
      </w:r>
    </w:p>
    <w:tbl>
      <w:tblPr>
        <w:tblW w:type="auto" w:w="0"/>
        <w:jc w:val="left"/>
        <w:tblLayout w:type="fixed"/>
        <w:tblLook w:firstColumn="1" w:firstRow="1" w:lastColumn="0" w:lastRow="0" w:noHBand="0" w:noVBand="1" w:val="04A0"/>
      </w:tblPr>
      <w:tblGrid>
        <w:gridCol w:w="1247"/>
        <w:gridCol w:w="794"/>
        <w:gridCol w:w="1247"/>
        <w:gridCol w:w="1701"/>
        <w:gridCol w:w="1701"/>
        <w:gridCol w:w="1701"/>
        <w:gridCol w:w="1587"/>
      </w:tblGrid>
      <w:tr>
        <w:trPr>
          <w:trHeight w:val="420" w:hRule="atLeast"/>
        </w:trPr>
        <w:tc>
          <w:tcPr>
            <w:tcW w:type="dxa" w:w="124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Loan ID</w:t>
            </w:r>
          </w:p>
        </w:tc>
        <w:tc>
          <w:tcPr>
            <w:tcW w:type="dxa" w:w="79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Type</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Rate</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Accrued (period)</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Paid (period)</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Outstanding</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Settlement</w:t>
            </w:r>
          </w:p>
        </w:tc>
      </w:tr>
      <w:tr>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LN-B-2026-0418</w:t>
            </w:r>
          </w:p>
        </w:tc>
        <w:tc>
          <w:tcPr>
            <w:tcW w:type="dxa" w:w="794"/>
            <w:tcBorders>
              <w:bottom w:val="single" w:sz="4" w:color="D0D5DD"/>
            </w:tcBorders>
            <w:vAlign w:val="center"/>
          </w:tcPr>
          <w:p>
            <w:pPr>
              <w:spacing w:before="40" w:after="40"/>
            </w:pPr>
            <w:r>
              <w:rPr>
                <w:rFonts w:ascii="Arial" w:hAnsi="Arial"/>
                <w:rFonts w:ascii="Arial" w:hAnsi="Arial" w:cs="Arial"/>
                <w:b/>
                <w:i w:val="0"/>
                <w:color w:val="B91C1C"/>
                <w:sz w:val="15"/>
              </w:rPr>
              <w:t>Borrow</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8.50% Variable</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14,166.67 USDC ($14,166.67)</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14,166.67 USDC ($14,166.67)</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5"/>
              </w:rPr>
              <w:t>0.00 USDC (—)</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Auto-debit from borrowed asset balance, end of each month</w:t>
            </w:r>
          </w:p>
        </w:tc>
      </w:tr>
      <w:tr>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LN-L-2026-0218</w:t>
            </w:r>
          </w:p>
        </w:tc>
        <w:tc>
          <w:tcPr>
            <w:tcW w:type="dxa" w:w="794"/>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Lend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4.25% Fixed</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0.354167 ETH ($800.42)</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 ETH (—)</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1.062500 ETH ($2,401.25)</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Paid in-kind at maturity (2026-05-19)</w:t>
            </w:r>
          </w:p>
        </w:tc>
      </w:tr>
    </w:tbl>
    <w:p>
      <w:pPr>
        <w:spacing w:before="0" w:after="80"/>
      </w:pPr>
      <w:r>
        <w:rPr>
          <w:rFonts w:ascii="Arial" w:hAnsi="Arial"/>
          <w:rFonts w:ascii="Arial" w:hAnsi="Arial" w:cs="Arial"/>
          <w:b w:val="0"/>
          <w:i/>
          <w:color w:val="4A5568"/>
          <w:sz w:val="16"/>
        </w:rPr>
        <w:t>LTV computed as borrowed_fiat ÷ collateral_fiat using closing-of-period prices. LTV thresholds: green &lt; 70%, amber 70–80%, red ≥ 80%. Borrow interest accrues daily on outstanding principal; lend interest accrues daily and is paid in-kind at maturity.</w:t>
      </w:r>
    </w:p>
    <w:p>
      <w:pPr>
        <w:sectPr>
          <w:pgSz w:w="11906" w:h="16838"/>
          <w:pgMar w:top="1134" w:right="1020" w:bottom="1134" w:left="1020" w:header="720" w:footer="720" w:gutter="0"/>
          <w:cols w:space="720"/>
          <w:docGrid w:linePitch="360"/>
        </w:sectPr>
      </w:pPr>
    </w:p>
    <w:p>
      <w:pPr>
        <w:spacing w:before="1200" w:after="0"/>
      </w:pPr>
      <w:r>
        <w:rPr>
          <w:rFonts w:ascii="Arial" w:hAnsi="Arial"/>
          <w:rFonts w:ascii="Arial" w:hAnsi="Arial" w:cs="Arial"/>
          <w:b w:val="0"/>
          <w:i w:val="0"/>
          <w:color w:val="4A5568"/>
          <w:sz w:val="20"/>
        </w:rPr>
      </w:r>
    </w:p>
    <w:p>
      <w:pPr>
        <w:spacing w:before="0" w:after="4800"/>
      </w:pPr>
      <w:r>
        <w:rPr>
          <w:rFonts w:ascii="Arial" w:hAnsi="Arial"/>
          <w:rFonts w:ascii="Arial" w:hAnsi="Arial" w:cs="Arial"/>
          <w:b w:val="0"/>
          <w:i w:val="0"/>
          <w:color w:val="0A2342"/>
          <w:sz w:val="22"/>
        </w:rPr>
        <w:t>If you have any questions regarding this Activity Statement Report, kindly contact clients@hextrust.com.</w:t>
      </w:r>
    </w:p>
    <w:p>
      <w:pPr>
        <w:spacing w:before="0" w:after="4000"/>
      </w:pPr>
      <w:r>
        <w:rPr>
          <w:rFonts w:ascii="Arial" w:hAnsi="Arial"/>
          <w:rFonts w:ascii="Arial" w:hAnsi="Arial" w:cs="Arial"/>
          <w:b w:val="0"/>
          <w:i w:val="0"/>
          <w:color w:val="4A5568"/>
          <w:sz w:val="20"/>
        </w:rPr>
      </w:r>
    </w:p>
    <w:p>
      <w:pPr>
        <w:spacing w:before="0" w:after="40"/>
      </w:pPr>
      <w:r>
        <w:rPr>
          <w:rFonts w:ascii="Arial" w:hAnsi="Arial"/>
          <w:rFonts w:ascii="Arial" w:hAnsi="Arial" w:cs="Arial"/>
          <w:b/>
          <w:i w:val="0"/>
          <w:color w:val="0A2342"/>
          <w:sz w:val="18"/>
        </w:rPr>
        <w:t>Disclaimer:</w:t>
      </w:r>
    </w:p>
    <w:p>
      <w:pPr>
        <w:spacing w:before="0" w:after="0"/>
      </w:pPr>
      <w:r>
        <w:rPr>
          <w:rFonts w:ascii="Arial" w:hAnsi="Arial"/>
          <w:rFonts w:ascii="Arial" w:hAnsi="Arial" w:cs="Arial"/>
          <w:b w:val="0"/>
          <w:i w:val="0"/>
          <w:color w:val="0A2342"/>
          <w:sz w:val="18"/>
        </w:rPr>
        <w:t>The client must review the information in the monthly statement and give Hex Trust written notice of any suspected error or omission as soon as reasonably possible (in any event, no later than 7 days of accessing / receiving the statement). Hex Trust will not be liable with respect to any error or omission in the monthly statement (including any reliance on any such error or omission) unless the client has timely objected in writing as aforementioned, unless such error or omission is the result of Hex Trust's bad faith or willful default.</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