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386"/>
        <w:gridCol w:w="4479"/>
      </w:tblGrid>
      <w:tr>
        <w:trPr>
          <w:trHeight w:val="420" w:hRule="atLeast"/>
        </w:trPr>
        <w:tc>
          <w:tcPr>
            <w:tcW w:type="dxa" w:w="538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47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38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47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38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47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OTC trade activity for the period, rolled up by trading pair. Settlement asset movements are recorded in the Custody section as Market Settlement-In / Market Settlement-Out and are not duplicated here. Individual trade detail is provided in the Detailed view.</w:t>
      </w:r>
    </w:p>
    <w:p>
      <w:pPr>
        <w:spacing w:before="360" w:after="120"/>
      </w:pPr>
      <w:r>
        <w:rPr>
          <w:rFonts w:ascii="Arial" w:hAnsi="Arial"/>
          <w:rFonts w:ascii="Arial" w:hAnsi="Arial" w:cs="Arial"/>
          <w:b/>
          <w:i w:val="0"/>
          <w:color w:val="0A2342"/>
          <w:sz w:val="28"/>
        </w:rPr>
        <w:t>Activity by Trading Pair</w:t>
      </w:r>
    </w:p>
    <w:tbl>
      <w:tblPr>
        <w:tblW w:type="auto" w:w="0"/>
        <w:jc w:val="left"/>
        <w:tblLayout w:type="fixed"/>
        <w:tblLook w:firstColumn="1" w:firstRow="1" w:lastColumn="0" w:lastRow="0" w:noHBand="0" w:noVBand="1" w:val="04A0"/>
      </w:tblPr>
      <w:tblGrid>
        <w:gridCol w:w="1247"/>
        <w:gridCol w:w="907"/>
        <w:gridCol w:w="1701"/>
        <w:gridCol w:w="1814"/>
        <w:gridCol w:w="1587"/>
        <w:gridCol w:w="1020"/>
        <w:gridCol w:w="1587"/>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 Trades</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Gross Notional (USD)</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Net Base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Avg Exec Price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Unsettled</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BTC/USDC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$4,250,500.00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15803D"/>
                <w:sz w:val="16"/>
              </w:rPr>
              <w:t>+52.3500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$81,191.00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USDT/USDC</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$1,124,237.67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+1,124,000.0000 USDT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$0.9994</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ETH/USDC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$478,000.00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B91C1C"/>
                <w:sz w:val="16"/>
              </w:rPr>
              <w:t>-30.0000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$4,243.33</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BTC/USDT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$240,320.00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+3.0625 BTC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$78,471.84</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SOL/USDC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$120,782.33</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15803D"/>
                <w:sz w:val="16"/>
              </w:rPr>
              <w:t>+500.0000 SOL</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$241.56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$6,213,840.00</w:t>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14</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