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1984"/>
        <w:gridCol w:w="3118"/>
        <w:gridCol w:w="4762"/>
      </w:tblGrid>
      <w:tr>
        <w:trPr>
          <w:trHeight w:val="420" w:hRule="atLeast"/>
        </w:trPr>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11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76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76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76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76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020"/>
        <w:gridCol w:w="1814"/>
        <w:gridCol w:w="1701"/>
        <w:gridCol w:w="1587"/>
        <w:gridCol w:w="1701"/>
        <w:gridCol w:w="1587"/>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C.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07"/>
        <w:gridCol w:w="2268"/>
        <w:gridCol w:w="1701"/>
        <w:gridCol w:w="1587"/>
        <w:gridCol w:w="1701"/>
        <w:gridCol w:w="158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360" w:after="120"/>
      </w:pPr>
      <w:r>
        <w:rPr>
          <w:rFonts w:ascii="Arial" w:hAnsi="Arial"/>
          <w:rFonts w:ascii="Arial" w:hAnsi="Arial" w:cs="Arial"/>
          <w:b/>
          <w:i w:val="0"/>
          <w:color w:val="0A2342"/>
          <w:sz w:val="28"/>
        </w:rPr>
        <w:t>D. Per-Vault Breakdown</w:t>
      </w:r>
    </w:p>
    <w:p>
      <w:pPr>
        <w:spacing w:before="240" w:after="80"/>
      </w:pPr>
      <w:r>
        <w:rPr>
          <w:rFonts w:ascii="Arial" w:hAnsi="Arial"/>
          <w:rFonts w:ascii="Arial" w:hAnsi="Arial" w:cs="Arial"/>
          <w:b/>
          <w:i w:val="0"/>
          <w:color w:val="0A2342"/>
          <w:sz w:val="22"/>
        </w:rPr>
        <w:t>Client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320,033.61111000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47,516.11243000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$319,877.11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23,550.66962000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71,951.34527000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48,400.67565000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$71,941.13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0.00388594</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0.89976342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0.89587748</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$68,764.41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0.04075862</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0.04009069</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-0.00066793</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$90.64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105.36293000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3,024.94519000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2,919.58226000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$3,024.51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36.69408000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34.92115000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-1.77293000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$11.40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0.05754000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0.00001000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$4.78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$463,713.98</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14:22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695,352.0000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$694,656.65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W20260401-4NH8</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W20260409-6BV3</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0.00007965 ETH ($0.18)</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W20260413-8XK1</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11:08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-7.6830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-$586,539.45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W20260422-9CW7</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0.91000000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$69,546.75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W20260423-2RP4</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2026-04-23 17:01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-0.01115782</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-$852.85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0.00000830 BTC ($0.06)</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W20260423-7QY9</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 22:09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48,400.6523</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$48,395.81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W20260424-5MK2</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(3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3</w:t>
            </w:r>
          </w:p>
        </w:tc>
      </w:tr>
    </w:tbl>
    <w:p>
      <w:pPr>
        <w:spacing w:before="240" w:after="80"/>
      </w:pPr>
      <w:r>
        <w:rPr>
          <w:rFonts w:ascii="Arial" w:hAnsi="Arial"/>
          <w:rFonts w:ascii="Arial" w:hAnsi="Arial" w:cs="Arial"/>
          <w:b/>
          <w:i w:val="0"/>
          <w:color w:val="0A2342"/>
          <w:sz w:val="22"/>
        </w:rPr>
        <w:t>Gas Station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$5.14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Babylon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$5.14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02:30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0.10000000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$226.10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W20260415-8NF3</w:t>
            </w:r>
          </w:p>
        </w:tc>
      </w:tr>
    </w:tbl>
    <w:p>
      <w:pPr>
        <w:spacing w:before="240" w:after="80"/>
      </w:pPr>
      <w:r>
        <w:rPr>
          <w:rFonts w:ascii="Arial" w:hAnsi="Arial"/>
          <w:rFonts w:ascii="Arial" w:hAnsi="Arial" w:cs="Arial"/>
          <w:b/>
          <w:i w:val="0"/>
          <w:color w:val="0A2342"/>
          <w:sz w:val="22"/>
        </w:rPr>
        <w:t>Markets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169,879.72865000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-102,637.77003000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$169,796.65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105,308.87335000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102,389.29438000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-2,919.57897000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$102,374.77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149,682.95699000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21,136.69899000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-128,546.25800000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$21,126.36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0.00110855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0.00106860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-0.00003995</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$81.66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0.08953215</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0.08858655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-0.00094560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$200.30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282.82180000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171.44890000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-111.37290000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$56.00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$557.69</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$295,143.94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09:15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241,338.3100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$241,096.97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W20260401-1DH6</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6.42850000 TRX ($2.10)</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W20260402-3FG2</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 15:30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-1,580,219.0000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-$1,578,638.78</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W20260413-9PT5</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-5,432.6556</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-$5,427.22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W20260415-4VR1</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-$19,845.04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0.00015301 ETH ($0.35)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W20260420-2KW9</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09:25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W20260422-5GN3</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0.00003995 BTC ($3.05)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W20260422-8LY6</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-919,475.2902</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-$918,555.81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W20260428-3RM7</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(5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7</w:t>
            </w:r>
          </w:p>
        </w:tc>
      </w:tr>
    </w:tbl>
    <w:p>
      <w:pPr>
        <w:spacing w:before="160" w:after="60"/>
      </w:pPr>
      <w:r>
        <w:rPr>
          <w:rFonts w:ascii="Arial" w:hAnsi="Arial"/>
          <w:rFonts w:ascii="Arial" w:hAnsi="Arial" w:cs="Arial"/>
          <w:b/>
          <w:i w:val="0"/>
          <w:color w:val="0F2A4D"/>
          <w:sz w:val="20"/>
        </w:rPr>
        <w:t>Staking position</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07"/>
        <w:gridCol w:w="2268"/>
        <w:gridCol w:w="1701"/>
        <w:gridCol w:w="1587"/>
        <w:gridCol w:w="1701"/>
        <w:gridCol w:w="158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160" w:after="60"/>
      </w:pPr>
      <w:r>
        <w:rPr>
          <w:rFonts w:ascii="Arial" w:hAnsi="Arial"/>
          <w:rFonts w:ascii="Arial" w:hAnsi="Arial" w:cs="Arial"/>
          <w:b/>
          <w:i w:val="0"/>
          <w:color w:val="0F2A4D"/>
          <w:sz w:val="20"/>
        </w:rPr>
        <w:t>Staking transactions</w:t>
      </w:r>
    </w:p>
    <w:tbl>
      <w:tblPr>
        <w:tblW w:type="auto" w:w="0"/>
        <w:jc w:val="left"/>
        <w:tblLayout w:type="fixed"/>
        <w:tblLook w:firstColumn="1" w:firstRow="1" w:lastColumn="0" w:lastRow="0" w:noHBand="0" w:noVBand="1" w:val="04A0"/>
      </w:tblPr>
      <w:tblGrid>
        <w:gridCol w:w="1474"/>
        <w:gridCol w:w="1701"/>
        <w:gridCol w:w="680"/>
        <w:gridCol w:w="1020"/>
        <w:gridCol w:w="1247"/>
        <w:gridCol w:w="1247"/>
        <w:gridCol w:w="1701"/>
        <w:gridCol w:w="1361"/>
      </w:tblGrid>
      <w:tr>
        <w:trPr>
          <w:trHeight w:val="420" w:hRule="atLeast"/>
        </w:trPr>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2026-04-03 09:12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Stake</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$22,610.00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W20260403-1ST6</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W20260407-9KX2</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W20260414-2HM7</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2026-04-20 11:38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Unstake</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-$22,610.00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W20260420-4UN3</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W20260421-7QR4</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0.2090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$472.34</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W20260428-5LP9</w:t>
            </w:r>
          </w:p>
        </w:tc>
      </w:tr>
      <w:tr>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Net (6 txns)</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0.8420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360" w:after="120"/>
      </w:pPr>
      <w:r>
        <w:rPr>
          <w:rFonts w:ascii="Arial" w:hAnsi="Arial"/>
          <w:rFonts w:ascii="Arial" w:hAnsi="Arial" w:cs="Arial"/>
          <w:b/>
          <w:i w:val="0"/>
          <w:color w:val="0A2342"/>
          <w:sz w:val="28"/>
        </w:rPr>
        <w:t>E. Pending Transactions</w:t>
      </w:r>
    </w:p>
    <w:p>
      <w:pPr>
        <w:spacing w:before="0" w:after="120"/>
      </w:pPr>
      <w:r>
        <w:rPr>
          <w:rFonts w:ascii="Arial" w:hAnsi="Arial"/>
          <w:rFonts w:ascii="Arial" w:hAnsi="Arial" w:cs="Arial"/>
          <w:b w:val="0"/>
          <w:i w:val="0"/>
          <w:color w:val="4A5568"/>
          <w:sz w:val="18"/>
        </w:rPr>
        <w:t>Custody transactions awaiting client action (currently: Travel Rule declaration) or internal approval.</w:t>
      </w:r>
    </w:p>
    <w:tbl>
      <w:tblPr>
        <w:tblW w:type="auto" w:w="0"/>
        <w:jc w:val="left"/>
        <w:tblLayout w:type="fixed"/>
        <w:tblLook w:firstColumn="1" w:firstRow="1" w:lastColumn="0" w:lastRow="0" w:noHBand="0" w:noVBand="1" w:val="04A0"/>
      </w:tblPr>
      <w:tblGrid>
        <w:gridCol w:w="1247"/>
        <w:gridCol w:w="1474"/>
        <w:gridCol w:w="1134"/>
        <w:gridCol w:w="567"/>
        <w:gridCol w:w="907"/>
        <w:gridCol w:w="1134"/>
        <w:gridCol w:w="1247"/>
        <w:gridCol w:w="1020"/>
        <w:gridCol w:w="1701"/>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Vault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Reason</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-0.50000000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-$38,212.50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W20260429-QR03</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18:42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-$249,750.00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W20260430-MK87</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22:15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-180,000.0000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-$179,820.00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W20260430-CP12</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(0 of 2 signed)</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(6 pending)</w:t>
            </w:r>
          </w:p>
        </w:tc>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56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$2,406,169.47</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Note — Pending Transactions and Closing Balance Treatment:</w:t>
            </w:r>
          </w:p>
          <w:p>
            <w:pPr>
              <w:spacing w:before="80" w:after="40"/>
            </w:pPr>
            <w:r>
              <w:rPr>
                <w:rFonts w:ascii="Arial" w:hAnsi="Arial"/>
                <w:rFonts w:ascii="Arial" w:hAnsi="Arial" w:cs="Arial"/>
                <w:b/>
                <w:i w:val="0"/>
                <w:color w:val="0A2342"/>
                <w:sz w:val="18"/>
              </w:rPr>
              <w:t xml:space="preserve">•  Pending inbound (Transfer-In awaiting Travel Rule declaration): </w:t>
            </w:r>
            <w:r>
              <w:rPr>
                <w:rFonts w:ascii="Arial" w:hAnsi="Arial"/>
                <w:rFonts w:ascii="Arial" w:hAnsi="Arial" w:cs="Arial"/>
                <w:b w:val="0"/>
                <w:i w:val="0"/>
                <w:color w:val="0A2342"/>
                <w:sz w:val="18"/>
              </w:rPr>
              <w:t>Funds are received on-chain but are NOT yet included in the closing balances shown elsewhere on this statement. They will be added to the closing balance once the Travel Rule declaration is completed via the client portal.</w:t>
            </w:r>
          </w:p>
          <w:p>
            <w:pPr>
              <w:spacing w:before="80" w:after="40"/>
            </w:pPr>
            <w:r>
              <w:rPr>
                <w:rFonts w:ascii="Arial" w:hAnsi="Arial"/>
                <w:rFonts w:ascii="Arial" w:hAnsi="Arial" w:cs="Arial"/>
                <w:b/>
                <w:i w:val="0"/>
                <w:color w:val="0A2342"/>
                <w:sz w:val="18"/>
              </w:rPr>
              <w:t xml:space="preserve">•  Pending outbound (Transfer-Out awaiting maker-checker, compliance, or quorum approval): </w:t>
            </w:r>
            <w:r>
              <w:rPr>
                <w:rFonts w:ascii="Arial" w:hAnsi="Arial"/>
                <w:rFonts w:ascii="Arial" w:hAnsi="Arial" w:cs="Arial"/>
                <w:b w:val="0"/>
                <w:i w:val="0"/>
                <w:color w:val="0A2342"/>
                <w:sz w:val="18"/>
              </w:rPr>
              <w:t>The withdrawal has been initiated but not yet broadcast on-chain. Funds remain under custody and ARE still included in the closing balance until the withdrawal is executed.</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