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0"/>
      </w:pPr>
      <w:r>
        <w:rPr>
          <w:rFonts w:ascii="Arial" w:hAnsi="Arial"/>
          <w:rFonts w:ascii="Arial" w:hAnsi="Arial" w:cs="Arial"/>
          <w:b w:val="0"/>
          <w:i w:val="0"/>
          <w:color w:val="4A5568"/>
          <w:sz w:val="20"/>
        </w:rPr>
        <w:t>01 May 2026</w:t>
      </w:r>
    </w:p>
    <w:p>
      <w:pPr>
        <w:spacing w:before="0" w:after="0"/>
      </w:pPr>
      <w:r>
        <w:rPr>
          <w:rFonts w:ascii="Arial" w:hAnsi="Arial"/>
          <w:rFonts w:ascii="Arial" w:hAnsi="Arial" w:cs="Arial"/>
          <w:b/>
          <w:i w:val="0"/>
          <w:color w:val="0A2342"/>
          <w:sz w:val="84"/>
        </w:rPr>
        <w:t>Loan</w:t>
      </w:r>
    </w:p>
    <w:p>
      <w:pPr>
        <w:spacing w:before="0" w:after="280"/>
      </w:pPr>
      <w:r>
        <w:rPr>
          <w:rFonts w:ascii="Arial" w:hAnsi="Arial"/>
          <w:rFonts w:ascii="Arial" w:hAnsi="Arial" w:cs="Arial"/>
          <w:b/>
          <w:i w:val="0"/>
          <w:color w:val="0A2342"/>
          <w:sz w:val="84"/>
        </w:rPr>
        <w:t>Statement</w:t>
      </w:r>
    </w:p>
    <w:p>
      <w:pPr>
        <w:pBdr>
          <w:bottom w:val="single" w:sz="16" w:color="0A2342" w:space="1"/>
        </w:pBdr>
      </w:pPr>
      <w:r>
        <w:t xml:space="preserve"> </w:t>
      </w:r>
    </w:p>
    <w:p>
      <w:pPr>
        <w:spacing w:before="200" w:after="40"/>
      </w:pPr>
      <w:r>
        <w:rPr>
          <w:rFonts w:ascii="Arial" w:hAnsi="Arial"/>
          <w:rFonts w:ascii="Arial" w:hAnsi="Arial" w:cs="Arial"/>
          <w:b w:val="0"/>
          <w:i w:val="0"/>
          <w:color w:val="4A5568"/>
          <w:sz w:val="40"/>
        </w:rPr>
        <w:t>SuperRich Tech Limited</w:t>
      </w:r>
    </w:p>
    <w:p>
      <w:pPr>
        <w:spacing w:before="0" w:after="6400"/>
      </w:pPr>
      <w:r>
        <w:rPr>
          <w:rFonts w:ascii="Arial" w:hAnsi="Arial"/>
          <w:rFonts w:ascii="Arial" w:hAnsi="Arial" w:cs="Arial"/>
          <w:b w:val="0"/>
          <w:i w:val="0"/>
          <w:color w:val="4A5568"/>
          <w:sz w:val="22"/>
        </w:rPr>
        <w:t>01 Apr 2026 - 30 Apr 2026</w:t>
      </w:r>
    </w:p>
    <w:p>
      <w:pPr>
        <w:spacing w:before="6400" w:after="0"/>
      </w:pPr>
      <w:r>
        <w:rPr>
          <w:rFonts w:ascii="Arial" w:hAnsi="Arial"/>
          <w:rFonts w:ascii="Arial" w:hAnsi="Arial" w:cs="Arial"/>
          <w:b w:val="0"/>
          <w:i w:val="0"/>
          <w:color w:val="4A5568"/>
          <w:sz w:val="20"/>
        </w:rPr>
        <w:t>Custody  ·  Markets  ·  Asset Servicing</w:t>
      </w:r>
    </w:p>
    <w:p>
      <w:r>
        <w:br w:type="page"/>
      </w:r>
    </w:p>
    <w:tbl>
      <w:tblPr>
        <w:tblW w:type="auto" w:w="0"/>
        <w:jc w:val="center"/>
        <w:tblLayout w:type="fixed"/>
        <w:tblLook w:firstColumn="1" w:firstRow="1" w:lastColumn="0" w:lastRow="0" w:noHBand="0" w:noVBand="1" w:val="04A0"/>
      </w:tblPr>
      <w:tblGrid>
        <w:gridCol w:w="10206"/>
      </w:tblGrid>
      <w:tr>
        <w:tc>
          <w:tcPr>
            <w:tcW w:type="dxa" w:w="1020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1 — Statement Summary</w:t>
            </w:r>
          </w:p>
        </w:tc>
      </w:tr>
      <w:tr>
        <w:tc>
          <w:tcPr>
            <w:tcW w:type="dxa" w:w="1020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Activity Statement  ·  SuperRich Tech Limited</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360" w:after="120"/>
      </w:pPr>
      <w:r>
        <w:rPr>
          <w:rFonts w:ascii="Arial" w:hAnsi="Arial"/>
          <w:rFonts w:ascii="Arial" w:hAnsi="Arial" w:cs="Arial"/>
          <w:b/>
          <w:i w:val="0"/>
          <w:color w:val="0A2342"/>
          <w:sz w:val="28"/>
        </w:rPr>
        <w:t>A. Client Information</w:t>
      </w:r>
    </w:p>
    <w:tbl>
      <w:tblPr>
        <w:tblW w:type="auto" w:w="0"/>
        <w:tblLayout w:type="fixed"/>
        <w:tblLook w:firstColumn="1" w:firstRow="1" w:lastColumn="0" w:lastRow="0" w:noHBand="0" w:noVBand="1" w:val="04A0"/>
      </w:tblPr>
      <w:tblGrid>
        <w:gridCol w:w="3118"/>
        <w:gridCol w:w="6746"/>
      </w:tblGrid>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Client Name</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SuperRich Tech Limited</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Client ID</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3a8c2d14-f1b7-4e95-a623-9d8e7c4b1f5a</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Loan Provider</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Hex Trust Loans Ltd</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Reporting Currency</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USD (spot @ 23:59:59 UTC on last day of period)</w:t>
            </w:r>
          </w:p>
        </w:tc>
      </w:tr>
    </w:tbl>
    <w:p>
      <w:pPr>
        <w:spacing w:before="360" w:after="120"/>
      </w:pPr>
      <w:r>
        <w:rPr>
          <w:rFonts w:ascii="Arial" w:hAnsi="Arial"/>
          <w:rFonts w:ascii="Arial" w:hAnsi="Arial" w:cs="Arial"/>
          <w:b/>
          <w:i w:val="0"/>
          <w:color w:val="0A2342"/>
          <w:sz w:val="28"/>
        </w:rPr>
        <w:t>B. Loans — open positions at period end</w:t>
      </w:r>
    </w:p>
    <w:tbl>
      <w:tblPr>
        <w:tblW w:type="auto" w:w="0"/>
        <w:jc w:val="left"/>
        <w:tblLayout w:type="fixed"/>
        <w:tblLook w:firstColumn="1" w:firstRow="1" w:lastColumn="0" w:lastRow="0" w:noHBand="0" w:noVBand="1" w:val="04A0"/>
      </w:tblPr>
      <w:tblGrid>
        <w:gridCol w:w="3515"/>
        <w:gridCol w:w="6690"/>
      </w:tblGrid>
      <w:tr>
        <w:trPr>
          <w:trHeight w:val="420" w:hRule="atLeast"/>
        </w:trPr>
        <w:tc>
          <w:tcPr>
            <w:tcW w:type="dxa" w:w="3515"/>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Metric</w:t>
            </w:r>
          </w:p>
        </w:tc>
        <w:tc>
          <w:tcPr>
            <w:tcW w:type="dxa" w:w="669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w:t>
            </w:r>
          </w:p>
        </w:tc>
      </w:tr>
      <w:tr>
        <w:tc>
          <w:tcPr>
            <w:tcW w:type="dxa" w:w="3515"/>
            <w:tcBorders>
              <w:bottom w:val="single" w:sz="4" w:color="D0D5DD"/>
            </w:tcBorders>
            <w:vAlign w:val="center"/>
          </w:tcPr>
          <w:p>
            <w:pPr>
              <w:spacing w:before="40" w:after="40"/>
            </w:pPr>
            <w:r>
              <w:rPr>
                <w:rFonts w:ascii="Arial" w:hAnsi="Arial"/>
                <w:rFonts w:ascii="Arial" w:hAnsi="Arial" w:cs="Arial"/>
                <w:b w:val="0"/>
                <w:i w:val="0"/>
                <w:color w:val="4A5568"/>
                <w:sz w:val="17"/>
              </w:rPr>
              <w:t>Open borrowing positions</w:t>
            </w:r>
          </w:p>
        </w:tc>
        <w:tc>
          <w:tcPr>
            <w:tcW w:type="dxa" w:w="6690"/>
            <w:tcBorders>
              <w:bottom w:val="single" w:sz="4" w:color="D0D5DD"/>
            </w:tcBorders>
            <w:vAlign w:val="center"/>
          </w:tcPr>
          <w:p>
            <w:pPr>
              <w:spacing w:before="40" w:after="40"/>
              <w:jc w:val="right"/>
            </w:pPr>
            <w:r>
              <w:rPr>
                <w:rFonts w:ascii="Arial" w:hAnsi="Arial"/>
                <w:rFonts w:ascii="Arial" w:hAnsi="Arial" w:cs="Arial"/>
                <w:b w:val="0"/>
                <w:i w:val="0"/>
                <w:color w:val="4A5568"/>
                <w:sz w:val="17"/>
              </w:rPr>
              <w:t>1  (Borrowed: $2,000,000.00  ·  Collateral posted: $2,676,577.50)</w:t>
            </w:r>
          </w:p>
        </w:tc>
      </w:tr>
      <w:tr>
        <w:tc>
          <w:tcPr>
            <w:tcW w:type="dxa" w:w="3515"/>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Open lending positions</w:t>
            </w:r>
          </w:p>
        </w:tc>
        <w:tc>
          <w:tcPr>
            <w:tcW w:type="dxa" w:w="669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  (Lent: $226,000.00)</w:t>
            </w:r>
          </w:p>
        </w:tc>
      </w:tr>
      <w:tr>
        <w:tc>
          <w:tcPr>
            <w:tcW w:type="dxa" w:w="3515"/>
            <w:tcBorders>
              <w:bottom w:val="single" w:sz="4" w:color="D0D5DD"/>
            </w:tcBorders>
            <w:vAlign w:val="center"/>
          </w:tcPr>
          <w:p>
            <w:pPr>
              <w:spacing w:before="40" w:after="40"/>
            </w:pPr>
            <w:r>
              <w:rPr>
                <w:rFonts w:ascii="Arial" w:hAnsi="Arial"/>
                <w:rFonts w:ascii="Arial" w:hAnsi="Arial" w:cs="Arial"/>
                <w:b w:val="0"/>
                <w:i w:val="0"/>
                <w:color w:val="4A5568"/>
                <w:sz w:val="17"/>
              </w:rPr>
              <w:t>Net loan position (Lent − Borrowed)</w:t>
            </w:r>
          </w:p>
        </w:tc>
        <w:tc>
          <w:tcPr>
            <w:tcW w:type="dxa" w:w="6690"/>
            <w:tcBorders>
              <w:bottom w:val="single" w:sz="4" w:color="D0D5DD"/>
            </w:tcBorders>
            <w:vAlign w:val="center"/>
          </w:tcPr>
          <w:p>
            <w:pPr>
              <w:spacing w:before="40" w:after="40"/>
              <w:jc w:val="right"/>
            </w:pPr>
            <w:r>
              <w:rPr>
                <w:rFonts w:ascii="Arial" w:hAnsi="Arial"/>
                <w:rFonts w:ascii="Arial" w:hAnsi="Arial" w:cs="Arial"/>
                <w:b/>
                <w:i w:val="0"/>
                <w:color w:val="B91C1C"/>
                <w:sz w:val="17"/>
              </w:rPr>
              <w:t>-$1,774,000.00</w:t>
            </w:r>
          </w:p>
        </w:tc>
      </w:tr>
      <w:tr>
        <w:tc>
          <w:tcPr>
            <w:tcW w:type="dxa" w:w="3515"/>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Borrow interest (accrued / paid this period)</w:t>
            </w:r>
          </w:p>
        </w:tc>
        <w:tc>
          <w:tcPr>
            <w:tcW w:type="dxa" w:w="6690"/>
            <w:shd w:val="clear" w:color="auto" w:fill="F5F7FA"/>
            <w:tcBorders>
              <w:bottom w:val="single" w:sz="4" w:color="D0D5DD"/>
            </w:tcBorders>
            <w:vAlign w:val="center"/>
          </w:tcPr>
          <w:p>
            <w:pPr>
              <w:spacing w:before="40" w:after="40"/>
              <w:jc w:val="right"/>
            </w:pPr>
            <w:r>
              <w:rPr>
                <w:rFonts w:ascii="Arial" w:hAnsi="Arial"/>
                <w:rFonts w:ascii="Arial" w:hAnsi="Arial" w:cs="Arial"/>
                <w:b/>
                <w:i w:val="0"/>
                <w:color w:val="B91C1C"/>
                <w:sz w:val="17"/>
              </w:rPr>
              <w:t>Accrued $14,166.67  ·  Paid $14,166.67</w:t>
            </w:r>
          </w:p>
        </w:tc>
      </w:tr>
      <w:tr>
        <w:tc>
          <w:tcPr>
            <w:tcW w:type="dxa" w:w="3515"/>
            <w:tcBorders>
              <w:bottom w:val="single" w:sz="4" w:color="D0D5DD"/>
            </w:tcBorders>
            <w:vAlign w:val="center"/>
          </w:tcPr>
          <w:p>
            <w:pPr>
              <w:spacing w:before="40" w:after="40"/>
            </w:pPr>
            <w:r>
              <w:rPr>
                <w:rFonts w:ascii="Arial" w:hAnsi="Arial"/>
                <w:rFonts w:ascii="Arial" w:hAnsi="Arial" w:cs="Arial"/>
                <w:b w:val="0"/>
                <w:i w:val="0"/>
                <w:color w:val="4A5568"/>
                <w:sz w:val="17"/>
              </w:rPr>
              <w:t>Lend interest (accrued this period / outstanding)</w:t>
            </w:r>
          </w:p>
        </w:tc>
        <w:tc>
          <w:tcPr>
            <w:tcW w:type="dxa" w:w="6690"/>
            <w:tcBorders>
              <w:bottom w:val="single" w:sz="4" w:color="D0D5DD"/>
            </w:tcBorders>
            <w:vAlign w:val="center"/>
          </w:tcPr>
          <w:p>
            <w:pPr>
              <w:spacing w:before="40" w:after="40"/>
              <w:jc w:val="right"/>
            </w:pPr>
            <w:r>
              <w:rPr>
                <w:rFonts w:ascii="Arial" w:hAnsi="Arial"/>
                <w:rFonts w:ascii="Arial" w:hAnsi="Arial" w:cs="Arial"/>
                <w:b/>
                <w:i w:val="0"/>
                <w:color w:val="15803D"/>
                <w:sz w:val="17"/>
              </w:rPr>
              <w:t>Accrued $800.42  ·  Outstanding $2,401.25</w:t>
            </w:r>
          </w:p>
        </w:tc>
      </w:tr>
    </w:tbl>
    <w:p>
      <w:pPr>
        <w:sectPr>
          <w:pgSz w:w="11906" w:h="16838"/>
          <w:pgMar w:top="1134" w:right="850" w:bottom="1134" w:left="850" w:header="720" w:footer="720" w:gutter="0"/>
          <w:cols w:space="720"/>
          <w:docGrid w:linePitch="360"/>
        </w:sectPr>
      </w:pPr>
    </w:p>
    <w:tbl>
      <w:tblPr>
        <w:tblW w:type="auto" w:w="0"/>
        <w:jc w:val="center"/>
        <w:tblLayout w:type="fixed"/>
        <w:tblLook w:firstColumn="1" w:firstRow="1" w:lastColumn="0" w:lastRow="0" w:noHBand="0" w:noVBand="1" w:val="04A0"/>
      </w:tblPr>
      <w:tblGrid>
        <w:gridCol w:w="10206"/>
      </w:tblGrid>
      <w:tr>
        <w:tc>
          <w:tcPr>
            <w:tcW w:type="dxa" w:w="1020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4 — Loans (Detailed View)</w:t>
            </w:r>
          </w:p>
        </w:tc>
      </w:tr>
      <w:tr>
        <w:tc>
          <w:tcPr>
            <w:tcW w:type="dxa" w:w="1020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Activity Statement  ·  SuperRich Tech Limited</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0" w:after="120"/>
      </w:pPr>
      <w:r>
        <w:rPr>
          <w:rFonts w:ascii="Arial" w:hAnsi="Arial"/>
          <w:rFonts w:ascii="Arial" w:hAnsi="Arial" w:cs="Arial"/>
          <w:b w:val="0"/>
          <w:i w:val="0"/>
          <w:color w:val="4A5568"/>
          <w:sz w:val="18"/>
        </w:rPr>
        <w:t>Active borrowing and lending positions as at end of statement period. Snapshot taken at 2026-04-30 23:59:59 UTC. Per-position detail with collateral location, margin and liquidation thresholds, period interest (accrued / paid / outstanding) and any margin events. Per PRD v1 scope, full drawdown and repayment history is excluded (positions only).</w:t>
      </w:r>
    </w:p>
    <w:p>
      <w:pPr>
        <w:spacing w:before="360" w:after="120"/>
      </w:pPr>
      <w:r>
        <w:rPr>
          <w:rFonts w:ascii="Arial" w:hAnsi="Arial"/>
          <w:rFonts w:ascii="Arial" w:hAnsi="Arial" w:cs="Arial"/>
          <w:b/>
          <w:i w:val="0"/>
          <w:color w:val="0A2342"/>
          <w:sz w:val="28"/>
        </w:rPr>
        <w:t>A. Borrowing positions (client borrows from Hex Trust)</w:t>
      </w:r>
    </w:p>
    <w:tbl>
      <w:tblPr>
        <w:tblW w:type="auto" w:w="0"/>
        <w:jc w:val="left"/>
        <w:tblLayout w:type="fixed"/>
        <w:tblLook w:firstColumn="1" w:firstRow="1" w:lastColumn="0" w:lastRow="0" w:noHBand="0" w:noVBand="1" w:val="04A0"/>
      </w:tblPr>
      <w:tblGrid>
        <w:gridCol w:w="1417"/>
        <w:gridCol w:w="1417"/>
        <w:gridCol w:w="1417"/>
        <w:gridCol w:w="1304"/>
        <w:gridCol w:w="1644"/>
        <w:gridCol w:w="794"/>
        <w:gridCol w:w="1304"/>
        <w:gridCol w:w="907"/>
      </w:tblGrid>
      <w:tr>
        <w:trPr>
          <w:trHeight w:val="420" w:hRule="atLeast"/>
        </w:trPr>
        <w:tc>
          <w:tcPr>
            <w:tcW w:type="dxa" w:w="141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Loan ID</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Borrowed</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 (USD)</w:t>
            </w:r>
          </w:p>
        </w:tc>
        <w:tc>
          <w:tcPr>
            <w:tcW w:type="dxa" w:w="130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Collateral</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Collateral Value (USD)</w:t>
            </w:r>
          </w:p>
        </w:tc>
        <w:tc>
          <w:tcPr>
            <w:tcW w:type="dxa" w:w="79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LTV</w:t>
            </w:r>
          </w:p>
        </w:tc>
        <w:tc>
          <w:tcPr>
            <w:tcW w:type="dxa" w:w="130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Rate</w:t>
            </w:r>
          </w:p>
        </w:tc>
        <w:tc>
          <w:tcPr>
            <w:tcW w:type="dxa" w:w="90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Opened</w:t>
            </w:r>
          </w:p>
        </w:tc>
      </w:tr>
      <w:tr>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6"/>
              </w:rPr>
              <w:t>LN-B-2026-0418</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6"/>
              </w:rPr>
              <w:t>2,000,000.00 USDC</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6"/>
              </w:rPr>
              <w:t>$2,000,000.00</w:t>
            </w:r>
          </w:p>
        </w:tc>
        <w:tc>
          <w:tcPr>
            <w:tcW w:type="dxa" w:w="1304"/>
            <w:tcBorders>
              <w:bottom w:val="single" w:sz="4" w:color="D0D5DD"/>
            </w:tcBorders>
            <w:vAlign w:val="center"/>
          </w:tcPr>
          <w:p>
            <w:pPr>
              <w:spacing w:before="40" w:after="40"/>
              <w:jc w:val="right"/>
            </w:pPr>
            <w:r>
              <w:rPr>
                <w:rFonts w:ascii="Arial" w:hAnsi="Arial"/>
                <w:rFonts w:ascii="Arial" w:hAnsi="Arial" w:cs="Arial"/>
                <w:b w:val="0"/>
                <w:i w:val="0"/>
                <w:color w:val="4A5568"/>
                <w:sz w:val="16"/>
              </w:rPr>
              <w:t>35.0000 BTC</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6"/>
              </w:rPr>
              <w:t>$2,676,577.50</w:t>
            </w:r>
          </w:p>
        </w:tc>
        <w:tc>
          <w:tcPr>
            <w:tcW w:type="dxa" w:w="794"/>
            <w:tcBorders>
              <w:bottom w:val="single" w:sz="4" w:color="D0D5DD"/>
            </w:tcBorders>
            <w:vAlign w:val="center"/>
          </w:tcPr>
          <w:p>
            <w:pPr>
              <w:spacing w:before="40" w:after="40"/>
              <w:jc w:val="right"/>
            </w:pPr>
            <w:r>
              <w:rPr>
                <w:rFonts w:ascii="Arial" w:hAnsi="Arial"/>
                <w:rFonts w:ascii="Arial" w:hAnsi="Arial" w:cs="Arial"/>
                <w:b/>
                <w:i w:val="0"/>
                <w:color w:val="B45309"/>
                <w:sz w:val="16"/>
              </w:rPr>
              <w:t>74.72%</w:t>
            </w:r>
          </w:p>
        </w:tc>
        <w:tc>
          <w:tcPr>
            <w:tcW w:type="dxa" w:w="1304"/>
            <w:tcBorders>
              <w:bottom w:val="single" w:sz="4" w:color="D0D5DD"/>
            </w:tcBorders>
            <w:vAlign w:val="center"/>
          </w:tcPr>
          <w:p>
            <w:pPr>
              <w:spacing w:before="40" w:after="40"/>
              <w:jc w:val="right"/>
            </w:pPr>
            <w:r>
              <w:rPr>
                <w:rFonts w:ascii="Arial" w:hAnsi="Arial"/>
                <w:rFonts w:ascii="Arial" w:hAnsi="Arial" w:cs="Arial"/>
                <w:b w:val="0"/>
                <w:i w:val="0"/>
                <w:color w:val="4A5568"/>
                <w:sz w:val="16"/>
              </w:rPr>
              <w:t>8.50% Variable</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6"/>
              </w:rPr>
              <w:t>2025-12-14</w:t>
            </w:r>
          </w:p>
        </w:tc>
      </w:tr>
    </w:tbl>
    <w:tbl>
      <w:tblPr>
        <w:tblW w:type="auto" w:w="0"/>
        <w:tblLayout w:type="fixed"/>
        <w:tblLook w:firstColumn="1" w:firstRow="1" w:lastColumn="0" w:lastRow="0" w:noHBand="0" w:noVBand="1" w:val="04A0"/>
      </w:tblPr>
      <w:tblGrid>
        <w:gridCol w:w="3118"/>
        <w:gridCol w:w="6746"/>
      </w:tblGrid>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Loan ID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LN-B-2026-0418</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Collateral location</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Held in segregated vault under client Enterprise</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Margin call trigger</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LTV ≥ 80%</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Liquidation threshold</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LTV ≥ 85%</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Rate type</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8.50% Variable</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Maturity</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Open-ended</w:t>
            </w:r>
          </w:p>
        </w:tc>
      </w:tr>
    </w:tbl>
    <w:p>
      <w:pPr>
        <w:spacing w:before="0" w:after="40"/>
      </w:pPr>
      <w:r>
        <w:rPr>
          <w:rFonts w:ascii="Arial" w:hAnsi="Arial"/>
          <w:rFonts w:ascii="Arial" w:hAnsi="Arial" w:cs="Arial"/>
          <w:b w:val="0"/>
          <w:i w:val="0"/>
          <w:color w:val="4A5568"/>
          <w:sz w:val="4"/>
        </w:rPr>
      </w:r>
    </w:p>
    <w:p>
      <w:pPr>
        <w:spacing w:before="360" w:after="120"/>
      </w:pPr>
      <w:r>
        <w:rPr>
          <w:rFonts w:ascii="Arial" w:hAnsi="Arial"/>
          <w:rFonts w:ascii="Arial" w:hAnsi="Arial" w:cs="Arial"/>
          <w:b/>
          <w:i w:val="0"/>
          <w:color w:val="0A2342"/>
          <w:sz w:val="28"/>
        </w:rPr>
        <w:t>B. Lending positions (client lends to Hex Trust)</w:t>
      </w:r>
    </w:p>
    <w:tbl>
      <w:tblPr>
        <w:tblW w:type="auto" w:w="0"/>
        <w:jc w:val="left"/>
        <w:tblLayout w:type="fixed"/>
        <w:tblLook w:firstColumn="1" w:firstRow="1" w:lastColumn="0" w:lastRow="0" w:noHBand="0" w:noVBand="1" w:val="04A0"/>
      </w:tblPr>
      <w:tblGrid>
        <w:gridCol w:w="1417"/>
        <w:gridCol w:w="1644"/>
        <w:gridCol w:w="1417"/>
        <w:gridCol w:w="1417"/>
        <w:gridCol w:w="1077"/>
        <w:gridCol w:w="1644"/>
        <w:gridCol w:w="1587"/>
      </w:tblGrid>
      <w:tr>
        <w:trPr>
          <w:trHeight w:val="420" w:hRule="atLeast"/>
        </w:trPr>
        <w:tc>
          <w:tcPr>
            <w:tcW w:type="dxa" w:w="141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Loan ID</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Asset Lent</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 (USD)</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Rate</w:t>
            </w:r>
          </w:p>
        </w:tc>
        <w:tc>
          <w:tcPr>
            <w:tcW w:type="dxa" w:w="107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Term</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Opened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Maturity</w:t>
            </w:r>
          </w:p>
        </w:tc>
      </w:tr>
      <w:tr>
        <w:tc>
          <w:tcPr>
            <w:tcW w:type="dxa" w:w="1417"/>
            <w:tcBorders>
              <w:bottom w:val="single" w:sz="4" w:color="D0D5DD"/>
            </w:tcBorders>
            <w:vAlign w:val="center"/>
          </w:tcPr>
          <w:p>
            <w:pPr>
              <w:spacing w:before="40" w:after="40"/>
            </w:pPr>
            <w:r>
              <w:rPr>
                <w:rFonts w:ascii="Arial" w:hAnsi="Arial"/>
                <w:rFonts w:ascii="Arial" w:hAnsi="Arial" w:cs="Arial"/>
                <w:b w:val="0"/>
                <w:i w:val="0"/>
                <w:color w:val="4A5568"/>
                <w:sz w:val="16"/>
              </w:rPr>
              <w:t>LN-L-2026-0218</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6"/>
              </w:rPr>
              <w:t>$226,000.00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6"/>
              </w:rPr>
              <w:t>4.25% Fixed</w:t>
            </w:r>
          </w:p>
        </w:tc>
        <w:tc>
          <w:tcPr>
            <w:tcW w:type="dxa" w:w="1077"/>
            <w:tcBorders>
              <w:bottom w:val="single" w:sz="4" w:color="D0D5DD"/>
            </w:tcBorders>
            <w:vAlign w:val="center"/>
          </w:tcPr>
          <w:p>
            <w:pPr>
              <w:spacing w:before="40" w:after="40"/>
              <w:jc w:val="right"/>
            </w:pPr>
            <w:r>
              <w:rPr>
                <w:rFonts w:ascii="Arial" w:hAnsi="Arial"/>
                <w:rFonts w:ascii="Arial" w:hAnsi="Arial" w:cs="Arial"/>
                <w:b w:val="0"/>
                <w:i w:val="0"/>
                <w:color w:val="4A5568"/>
                <w:sz w:val="16"/>
              </w:rPr>
              <w:t>90 days</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6"/>
              </w:rPr>
              <w:t>2026-02-18</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2026-05-19</w:t>
            </w:r>
          </w:p>
        </w:tc>
      </w:tr>
    </w:tbl>
    <w:tbl>
      <w:tblPr>
        <w:tblW w:type="auto" w:w="0"/>
        <w:tblLayout w:type="fixed"/>
        <w:tblLook w:firstColumn="1" w:firstRow="1" w:lastColumn="0" w:lastRow="0" w:noHBand="0" w:noVBand="1" w:val="04A0"/>
      </w:tblPr>
      <w:tblGrid>
        <w:gridCol w:w="3118"/>
        <w:gridCol w:w="6746"/>
      </w:tblGrid>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Loan ID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LN-L-2026-0218</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Asset custody</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Asset transferred to Hex Trust; returned at maturity</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Rate type</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4.25% Fixed</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Term</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90 days (fixed)</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Days to maturity</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 19 days</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Roll-over</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Manual — instructions required 7 days prior to maturity</w:t>
            </w:r>
          </w:p>
        </w:tc>
      </w:tr>
    </w:tbl>
    <w:p>
      <w:pPr>
        <w:spacing w:before="0" w:after="40"/>
      </w:pPr>
      <w:r>
        <w:rPr>
          <w:rFonts w:ascii="Arial" w:hAnsi="Arial"/>
          <w:rFonts w:ascii="Arial" w:hAnsi="Arial" w:cs="Arial"/>
          <w:b w:val="0"/>
          <w:i w:val="0"/>
          <w:color w:val="4A5568"/>
          <w:sz w:val="4"/>
        </w:rPr>
      </w:r>
    </w:p>
    <w:p>
      <w:pPr>
        <w:spacing w:before="360" w:after="120"/>
      </w:pPr>
      <w:r>
        <w:rPr>
          <w:rFonts w:ascii="Arial" w:hAnsi="Arial"/>
          <w:rFonts w:ascii="Arial" w:hAnsi="Arial" w:cs="Arial"/>
          <w:b/>
          <w:i w:val="0"/>
          <w:color w:val="0A2342"/>
          <w:sz w:val="28"/>
        </w:rPr>
        <w:t>C. Period interest (accrued, paid, outstanding)</w:t>
      </w:r>
    </w:p>
    <w:tbl>
      <w:tblPr>
        <w:tblW w:type="auto" w:w="0"/>
        <w:jc w:val="left"/>
        <w:tblLayout w:type="fixed"/>
        <w:tblLook w:firstColumn="1" w:firstRow="1" w:lastColumn="0" w:lastRow="0" w:noHBand="0" w:noVBand="1" w:val="04A0"/>
      </w:tblPr>
      <w:tblGrid>
        <w:gridCol w:w="1247"/>
        <w:gridCol w:w="794"/>
        <w:gridCol w:w="1247"/>
        <w:gridCol w:w="1757"/>
        <w:gridCol w:w="1757"/>
        <w:gridCol w:w="1757"/>
        <w:gridCol w:w="1644"/>
      </w:tblGrid>
      <w:tr>
        <w:trPr>
          <w:trHeight w:val="420" w:hRule="atLeast"/>
        </w:trPr>
        <w:tc>
          <w:tcPr>
            <w:tcW w:type="dxa" w:w="124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Loan ID</w:t>
            </w:r>
          </w:p>
        </w:tc>
        <w:tc>
          <w:tcPr>
            <w:tcW w:type="dxa" w:w="79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Rate</w:t>
            </w:r>
          </w:p>
        </w:tc>
        <w:tc>
          <w:tcPr>
            <w:tcW w:type="dxa" w:w="175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Accrued (period)</w:t>
            </w:r>
          </w:p>
        </w:tc>
        <w:tc>
          <w:tcPr>
            <w:tcW w:type="dxa" w:w="175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Paid (period)</w:t>
            </w:r>
          </w:p>
        </w:tc>
        <w:tc>
          <w:tcPr>
            <w:tcW w:type="dxa" w:w="175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Outstanding</w:t>
            </w:r>
          </w:p>
        </w:tc>
        <w:tc>
          <w:tcPr>
            <w:tcW w:type="dxa" w:w="164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Settlement</w:t>
            </w:r>
          </w:p>
        </w:tc>
      </w:tr>
      <w:tr>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LN-B-2026-0418</w:t>
            </w:r>
          </w:p>
        </w:tc>
        <w:tc>
          <w:tcPr>
            <w:tcW w:type="dxa" w:w="794"/>
            <w:tcBorders>
              <w:bottom w:val="single" w:sz="4" w:color="D0D5DD"/>
            </w:tcBorders>
            <w:vAlign w:val="center"/>
          </w:tcPr>
          <w:p>
            <w:pPr>
              <w:spacing w:before="40" w:after="40"/>
            </w:pPr>
            <w:r>
              <w:rPr>
                <w:rFonts w:ascii="Arial" w:hAnsi="Arial"/>
                <w:rFonts w:ascii="Arial" w:hAnsi="Arial" w:cs="Arial"/>
                <w:b/>
                <w:i w:val="0"/>
                <w:color w:val="B91C1C"/>
                <w:sz w:val="15"/>
              </w:rPr>
              <w:t>Borrow</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8.50% Variable</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5"/>
              </w:rPr>
              <w:t>14,166.67 USDC ($14,166.67)</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5"/>
              </w:rPr>
              <w:t>14,166.67 USDC ($14,166.67)</w:t>
            </w:r>
          </w:p>
        </w:tc>
        <w:tc>
          <w:tcPr>
            <w:tcW w:type="dxa" w:w="1757"/>
            <w:tcBorders>
              <w:bottom w:val="single" w:sz="4" w:color="D0D5DD"/>
            </w:tcBorders>
            <w:vAlign w:val="center"/>
          </w:tcPr>
          <w:p>
            <w:pPr>
              <w:spacing w:before="40" w:after="40"/>
              <w:jc w:val="right"/>
            </w:pPr>
            <w:r>
              <w:rPr>
                <w:rFonts w:ascii="Arial" w:hAnsi="Arial"/>
                <w:rFonts w:ascii="Arial" w:hAnsi="Arial" w:cs="Arial"/>
                <w:b w:val="0"/>
                <w:i w:val="0"/>
                <w:color w:val="4A5568"/>
                <w:sz w:val="15"/>
              </w:rPr>
              <w:t>0.00 USDC (—)</w:t>
            </w:r>
          </w:p>
        </w:tc>
        <w:tc>
          <w:tcPr>
            <w:tcW w:type="dxa" w:w="1644"/>
            <w:tcBorders>
              <w:bottom w:val="single" w:sz="4" w:color="D0D5DD"/>
            </w:tcBorders>
            <w:vAlign w:val="center"/>
          </w:tcPr>
          <w:p>
            <w:pPr>
              <w:spacing w:before="40" w:after="40"/>
              <w:jc w:val="right"/>
            </w:pPr>
            <w:r>
              <w:rPr>
                <w:rFonts w:ascii="Arial" w:hAnsi="Arial"/>
                <w:rFonts w:ascii="Arial" w:hAnsi="Arial" w:cs="Arial"/>
                <w:b w:val="0"/>
                <w:i w:val="0"/>
                <w:color w:val="4A5568"/>
                <w:sz w:val="15"/>
              </w:rPr>
              <w:t>Auto-debit from borrowed asset balance, end of each month</w:t>
            </w:r>
          </w:p>
        </w:tc>
      </w:tr>
      <w:tr>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LN-L-2026-0218</w:t>
            </w:r>
          </w:p>
        </w:tc>
        <w:tc>
          <w:tcPr>
            <w:tcW w:type="dxa" w:w="794"/>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Lend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4.25% Fixed</w:t>
            </w:r>
          </w:p>
        </w:tc>
        <w:tc>
          <w:tcPr>
            <w:tcW w:type="dxa" w:w="175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0.354167 ETH ($800.42)</w:t>
            </w:r>
          </w:p>
        </w:tc>
        <w:tc>
          <w:tcPr>
            <w:tcW w:type="dxa" w:w="175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 ETH (—)</w:t>
            </w:r>
          </w:p>
        </w:tc>
        <w:tc>
          <w:tcPr>
            <w:tcW w:type="dxa" w:w="175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1.062500 ETH ($2,401.25)</w:t>
            </w:r>
          </w:p>
        </w:tc>
        <w:tc>
          <w:tcPr>
            <w:tcW w:type="dxa" w:w="164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Paid in-kind at maturity (2026-05-19)</w:t>
            </w:r>
          </w:p>
        </w:tc>
      </w:tr>
    </w:tbl>
    <w:p>
      <w:pPr>
        <w:spacing w:before="0" w:after="80"/>
      </w:pPr>
      <w:r>
        <w:rPr>
          <w:rFonts w:ascii="Arial" w:hAnsi="Arial"/>
          <w:rFonts w:ascii="Arial" w:hAnsi="Arial" w:cs="Arial"/>
          <w:b w:val="0"/>
          <w:i/>
          <w:color w:val="4A5568"/>
          <w:sz w:val="16"/>
        </w:rPr>
        <w:t>Borrow interest accrues daily on outstanding principal at the stated rate. For variable-rate borrows, rate may change intra-period; figures shown are the time-weighted total for the period. Lend interest accrues daily on the lent quantity and is paid in-kind at maturity.</w:t>
      </w:r>
    </w:p>
    <w:p>
      <w:pPr>
        <w:spacing w:before="360" w:after="120"/>
      </w:pPr>
      <w:r>
        <w:rPr>
          <w:rFonts w:ascii="Arial" w:hAnsi="Arial"/>
          <w:rFonts w:ascii="Arial" w:hAnsi="Arial" w:cs="Arial"/>
          <w:b/>
          <w:i w:val="0"/>
          <w:color w:val="0A2342"/>
          <w:sz w:val="28"/>
        </w:rPr>
        <w:t>D. Margin &amp; collateral events</w:t>
      </w:r>
    </w:p>
    <w:tbl>
      <w:tblPr>
        <w:tblW w:type="auto" w:w="0"/>
        <w:jc w:val="left"/>
        <w:tblLayout w:type="fixed"/>
        <w:tblLook w:firstColumn="1" w:firstRow="1" w:lastColumn="0" w:lastRow="0" w:noHBand="0" w:noVBand="1" w:val="04A0"/>
      </w:tblPr>
      <w:tblGrid>
        <w:gridCol w:w="1757"/>
        <w:gridCol w:w="1531"/>
        <w:gridCol w:w="1531"/>
        <w:gridCol w:w="2551"/>
        <w:gridCol w:w="2835"/>
      </w:tblGrid>
      <w:tr>
        <w:trPr>
          <w:trHeight w:val="420" w:hRule="atLeast"/>
        </w:trPr>
        <w:tc>
          <w:tcPr>
            <w:tcW w:type="dxa" w:w="175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Timestamp (UTC)</w:t>
            </w:r>
          </w:p>
        </w:tc>
        <w:tc>
          <w:tcPr>
            <w:tcW w:type="dxa" w:w="153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Loan ID</w:t>
            </w:r>
          </w:p>
        </w:tc>
        <w:tc>
          <w:tcPr>
            <w:tcW w:type="dxa" w:w="153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Event</w:t>
            </w:r>
          </w:p>
        </w:tc>
        <w:tc>
          <w:tcPr>
            <w:tcW w:type="dxa" w:w="255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Trigger</w:t>
            </w:r>
          </w:p>
        </w:tc>
        <w:tc>
          <w:tcPr>
            <w:tcW w:type="dxa" w:w="2835"/>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Action taken</w:t>
            </w:r>
          </w:p>
        </w:tc>
      </w:tr>
      <w:tr>
        <w:tc>
          <w:tcPr>
            <w:tcW w:type="dxa" w:w="1757"/>
            <w:tcBorders>
              <w:bottom w:val="single" w:sz="4" w:color="D0D5DD"/>
            </w:tcBorders>
            <w:vAlign w:val="center"/>
          </w:tcPr>
          <w:p>
            <w:pPr>
              <w:spacing w:before="40" w:after="40"/>
            </w:pPr>
            <w:r>
              <w:rPr>
                <w:rFonts w:ascii="Arial" w:hAnsi="Arial"/>
                <w:rFonts w:ascii="Arial" w:hAnsi="Arial" w:cs="Arial"/>
                <w:b w:val="0"/>
                <w:i w:val="0"/>
                <w:color w:val="4A5568"/>
                <w:sz w:val="16"/>
              </w:rPr>
              <w:t>2026-04-12 09:14 UTC</w:t>
            </w:r>
          </w:p>
        </w:tc>
        <w:tc>
          <w:tcPr>
            <w:tcW w:type="dxa" w:w="1531"/>
            <w:tcBorders>
              <w:bottom w:val="single" w:sz="4" w:color="D0D5DD"/>
            </w:tcBorders>
            <w:vAlign w:val="center"/>
          </w:tcPr>
          <w:p>
            <w:pPr>
              <w:spacing w:before="40" w:after="40"/>
            </w:pPr>
            <w:r>
              <w:rPr>
                <w:rFonts w:ascii="Arial" w:hAnsi="Arial"/>
                <w:rFonts w:ascii="Arial" w:hAnsi="Arial" w:cs="Arial"/>
                <w:b w:val="0"/>
                <w:i w:val="0"/>
                <w:color w:val="4A5568"/>
                <w:sz w:val="16"/>
              </w:rPr>
              <w:t>LN-B-2026-0418</w:t>
            </w:r>
          </w:p>
        </w:tc>
        <w:tc>
          <w:tcPr>
            <w:tcW w:type="dxa" w:w="1531"/>
            <w:tcBorders>
              <w:bottom w:val="single" w:sz="4" w:color="D0D5DD"/>
            </w:tcBorders>
            <w:vAlign w:val="center"/>
          </w:tcPr>
          <w:p>
            <w:pPr>
              <w:spacing w:before="40" w:after="40"/>
            </w:pPr>
            <w:r>
              <w:rPr>
                <w:rFonts w:ascii="Arial" w:hAnsi="Arial"/>
                <w:rFonts w:ascii="Arial" w:hAnsi="Arial" w:cs="Arial"/>
                <w:b/>
                <w:i w:val="0"/>
                <w:color w:val="B45309"/>
                <w:sz w:val="16"/>
              </w:rPr>
              <w:t>LTV warning</w:t>
            </w:r>
          </w:p>
        </w:tc>
        <w:tc>
          <w:tcPr>
            <w:tcW w:type="dxa" w:w="2551"/>
            <w:tcBorders>
              <w:bottom w:val="single" w:sz="4" w:color="D0D5DD"/>
            </w:tcBorders>
            <w:vAlign w:val="center"/>
          </w:tcPr>
          <w:p>
            <w:pPr>
              <w:spacing w:before="40" w:after="40"/>
            </w:pPr>
            <w:r>
              <w:rPr>
                <w:rFonts w:ascii="Arial" w:hAnsi="Arial"/>
                <w:rFonts w:ascii="Arial" w:hAnsi="Arial" w:cs="Arial"/>
                <w:b w:val="0"/>
                <w:i w:val="0"/>
                <w:color w:val="4A5568"/>
                <w:sz w:val="16"/>
              </w:rPr>
              <w:t>LTV reached 71.2% (amber zone, ≥ 70%)</w:t>
            </w:r>
          </w:p>
        </w:tc>
        <w:tc>
          <w:tcPr>
            <w:tcW w:type="dxa" w:w="2835"/>
            <w:tcBorders>
              <w:bottom w:val="single" w:sz="4" w:color="D0D5DD"/>
            </w:tcBorders>
            <w:vAlign w:val="center"/>
          </w:tcPr>
          <w:p>
            <w:pPr>
              <w:spacing w:before="40" w:after="40"/>
            </w:pPr>
            <w:r>
              <w:rPr>
                <w:rFonts w:ascii="Arial" w:hAnsi="Arial"/>
                <w:rFonts w:ascii="Arial" w:hAnsi="Arial" w:cs="Arial"/>
                <w:b w:val="0"/>
                <w:i w:val="0"/>
                <w:color w:val="4A5568"/>
                <w:sz w:val="16"/>
              </w:rPr>
              <w:t>Client notified via email; no top-up required</w:t>
            </w:r>
          </w:p>
        </w:tc>
      </w:tr>
      <w:tr>
        <w:tc>
          <w:tcPr>
            <w:tcW w:type="dxa" w:w="175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2026-04-23 16:42 UTC</w:t>
            </w:r>
          </w:p>
        </w:tc>
        <w:tc>
          <w:tcPr>
            <w:tcW w:type="dxa" w:w="153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LN-B-2026-0418</w:t>
            </w:r>
          </w:p>
        </w:tc>
        <w:tc>
          <w:tcPr>
            <w:tcW w:type="dxa" w:w="1531"/>
            <w:shd w:val="clear" w:color="auto" w:fill="F5F7FA"/>
            <w:tcBorders>
              <w:bottom w:val="single" w:sz="4" w:color="D0D5DD"/>
            </w:tcBorders>
            <w:vAlign w:val="center"/>
          </w:tcPr>
          <w:p>
            <w:pPr>
              <w:spacing w:before="40" w:after="40"/>
            </w:pPr>
            <w:r>
              <w:rPr>
                <w:rFonts w:ascii="Arial" w:hAnsi="Arial"/>
                <w:rFonts w:ascii="Arial" w:hAnsi="Arial" w:cs="Arial"/>
                <w:b/>
                <w:i w:val="0"/>
                <w:color w:val="B45309"/>
                <w:sz w:val="16"/>
              </w:rPr>
              <w:t>LTV warning</w:t>
            </w:r>
          </w:p>
        </w:tc>
        <w:tc>
          <w:tcPr>
            <w:tcW w:type="dxa" w:w="255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LTV reached 74.7% (amber zone, ≥ 70%)</w:t>
            </w:r>
          </w:p>
        </w:tc>
        <w:tc>
          <w:tcPr>
            <w:tcW w:type="dxa" w:w="2835"/>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Client notified; collateral top-up recommended</w:t>
            </w:r>
          </w:p>
        </w:tc>
      </w:tr>
    </w:tbl>
    <w:p>
      <w:pPr>
        <w:spacing w:before="0" w:after="80"/>
      </w:pPr>
      <w:r>
        <w:rPr>
          <w:rFonts w:ascii="Arial" w:hAnsi="Arial"/>
          <w:rFonts w:ascii="Arial" w:hAnsi="Arial" w:cs="Arial"/>
          <w:b w:val="0"/>
          <w:i/>
          <w:color w:val="4A5568"/>
          <w:sz w:val="16"/>
        </w:rPr>
        <w:t>LTV computed as borrowed_fiat ÷ collateral_fiat using closing-of-period prices. LTV thresholds: green &lt; 70%, amber 70–80%, red ≥ 80%. Margin call triggers at 80% (client must top up collateral or partially repay within 24 hours). Liquidation triggers at 85% (collateral sold to repay outstanding balance).</w:t>
      </w:r>
    </w:p>
    <w:p>
      <w:pPr>
        <w:sectPr>
          <w:pgSz w:w="11906" w:h="16838"/>
          <w:pgMar w:top="1134" w:right="850" w:bottom="1134" w:left="850" w:header="720" w:footer="720" w:gutter="0"/>
          <w:cols w:space="720"/>
          <w:docGrid w:linePitch="360"/>
        </w:sectPr>
      </w:pPr>
    </w:p>
    <w:p>
      <w:pPr>
        <w:spacing w:before="1200" w:after="0"/>
      </w:pPr>
      <w:r>
        <w:rPr>
          <w:rFonts w:ascii="Arial" w:hAnsi="Arial"/>
          <w:rFonts w:ascii="Arial" w:hAnsi="Arial" w:cs="Arial"/>
          <w:b w:val="0"/>
          <w:i w:val="0"/>
          <w:color w:val="4A5568"/>
          <w:sz w:val="20"/>
        </w:rPr>
      </w:r>
    </w:p>
    <w:p>
      <w:pPr>
        <w:spacing w:before="0" w:after="4800"/>
      </w:pPr>
      <w:r>
        <w:rPr>
          <w:rFonts w:ascii="Arial" w:hAnsi="Arial"/>
          <w:rFonts w:ascii="Arial" w:hAnsi="Arial" w:cs="Arial"/>
          <w:b w:val="0"/>
          <w:i w:val="0"/>
          <w:color w:val="0A2342"/>
          <w:sz w:val="22"/>
        </w:rPr>
        <w:t>If you have any questions regarding this Activity Statement Report, kindly contact clients@hextrust.com.</w:t>
      </w:r>
    </w:p>
    <w:p>
      <w:pPr>
        <w:spacing w:before="0" w:after="4000"/>
      </w:pPr>
      <w:r>
        <w:rPr>
          <w:rFonts w:ascii="Arial" w:hAnsi="Arial"/>
          <w:rFonts w:ascii="Arial" w:hAnsi="Arial" w:cs="Arial"/>
          <w:b w:val="0"/>
          <w:i w:val="0"/>
          <w:color w:val="4A5568"/>
          <w:sz w:val="20"/>
        </w:rPr>
      </w:r>
    </w:p>
    <w:p>
      <w:pPr>
        <w:spacing w:before="0" w:after="40"/>
      </w:pPr>
      <w:r>
        <w:rPr>
          <w:rFonts w:ascii="Arial" w:hAnsi="Arial"/>
          <w:rFonts w:ascii="Arial" w:hAnsi="Arial" w:cs="Arial"/>
          <w:b/>
          <w:i w:val="0"/>
          <w:color w:val="0A2342"/>
          <w:sz w:val="18"/>
        </w:rPr>
        <w:t>Disclaimer — Hex Trust Loans Ltd:</w:t>
      </w:r>
    </w:p>
    <w:p>
      <w:pPr>
        <w:spacing w:before="0" w:after="0"/>
      </w:pPr>
      <w:r>
        <w:rPr>
          <w:rFonts w:ascii="Arial" w:hAnsi="Arial"/>
          <w:rFonts w:ascii="Arial" w:hAnsi="Arial" w:cs="Arial"/>
          <w:b w:val="0"/>
          <w:i w:val="0"/>
          <w:color w:val="0A2342"/>
          <w:sz w:val="18"/>
        </w:rPr>
        <w:t>The client must review the information in the monthly statement and give the custodian written notice of any suspected error or omission as soon as reasonably possible (in any event, no later than 7 days of accessing / receiving the statement). The custodian will not be liable with respect to any error or omission in the monthly statement (including any reliance on any such error or omission) unless the client has timely objected in writing as aforementioned, unless such error or omission is the result of the custodian's bad faith or willful default.</w:t>
      </w:r>
    </w:p>
    <w:sectPr w:rsidR="00FC693F" w:rsidRPr="0006063C" w:rsidSect="00034616">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