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Broker Entity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(SVG)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Trading Activities</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T-204700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2026-04-04 10:15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2026-04-11 14:22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T-204724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2026-04-19 09:48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T-204708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2026-04-08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T-204732</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2026-04-25 11:30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$405,000.00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T-204715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2026-04-14 13:55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2026-04-14</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T-204745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2026-04-29 10:08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USDC/USD</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2026-04-29</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T-204738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2026-04-26 15:20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$4,230.00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$211,500.00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2026-04-26</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(24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$10,302,038.64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22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tbl>
      <w:tblPr>
        <w:tblW w:type="auto" w:w="0"/>
        <w:jc w:val="left"/>
        <w:tblLayout w:type="fixed"/>
        <w:tblLook w:firstColumn="1" w:firstRow="1" w:lastColumn="0" w:lastRow="0" w:noHBand="0" w:noVBand="1" w:val="04A0"/>
      </w:tblPr>
      <w:tblGrid>
        <w:gridCol w:w="907"/>
        <w:gridCol w:w="1020"/>
        <w:gridCol w:w="1134"/>
        <w:gridCol w:w="680"/>
        <w:gridCol w:w="1020"/>
        <w:gridCol w:w="1134"/>
        <w:gridCol w:w="1134"/>
        <w:gridCol w:w="3175"/>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3175"/>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+10.5000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$850,500.00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bc1q92DDCB216AA445E37383G18E18CCE11C1678115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T-204598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-850,500.0000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-$850,500.00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0x09e4aa98e36598f96accd90cea63e2dce8ac557fa2da120c1bf1ce0101d03511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+5.4750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$444,412.67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bc1qG38F3346DE54E93725GD471E78145A2FEEF2E31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-444,412.6700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-$444,412.67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0xa6fae9e0153ea524fdd969fa4beed4a3cdd2282b3d062d2df71b19408f583550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+31.3750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$2,550,175.00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bc1q125437FE156FFC1742GCB21DCDDBAA3E6F5E1DF</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-2,550,175.0000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-$2,550,175.00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0xfaaec96dfb42507b6fbfbe471a2136fe93e93d8ca2ada375a528a2d4d9dda37b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$405,913.30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bc1q76A25B71B65F57A24252GG5851C3DD46AB7622C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2026-04-20</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-405,913.3000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-$405,913.30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0x83da88daad157c38efc25920c15ff5027199662a6e42e2827f6b487192a7a4a2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T22C5C3GECF4AGCGA95949CF88DG97EE8G</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T-204603</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0x74e53044acf0210300a214d734b012bef686b4c1f483ab9e864baf01e71514fe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$149,910.00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T2C926F65G561C585FG6D62G4556CAA846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T-204605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-149,910.0000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-$149,910.00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0xa4d8f29f2d979584a1b9112bfd70745844f9586f32c6bf5fd6ad5371d2b5c2e2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$299,820.00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T3FAC7122GGB31D4B4DAG8DC87D8G8CC41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-299,820.0000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-$299,820.00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0x9d4a7d852f7a4558519a1723f65dde59bd3eb7bb25c7134b44ae5e3fc7bc41fc</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+24,000.0000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$23,985.60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T5E944G1141899A1599926G8BBA537B6F1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2026-04-22</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-23,985.6000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-$23,985.60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0x93591b700c291fbc0e0d5b475d5947c962179947eb26be91c8ca649ca5a1c48b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$199,880.00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TB387C1G1F723FB2D974F59D55633DF11E</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T-204640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-199,880.0000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-$199,880.00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0x86b8e47a83e78655f0a845c1c16e54b1012c60c736ba494a69bc41e2437ccb11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Tron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$250,762.07</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TAB5A6DD622A97F164517B38E754679GGD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T-204661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-250,762.0700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-$250,762.07</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0xd2ca07283c9e22e0110fac47d2ea9b6e25ab942c7848592af2d3c5b8f5225082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+339,160.0000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$339,160.00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0x7d68a1301053c9227345194ed116f5458a8d84d4ccb1134ca6a58450cd75eb01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T-204635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-$339,160.00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0x6d95dcc78f3f34ff0385d88fcb6483a8499db18dd48f8775a78664f20605b59d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$84,640.00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0xcbac294c789677513fd6067750f5a5707b2a02551d2b1a9b23236df0fbb727a0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T-204658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2026-04-27</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-84,640.0000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-$84,640.00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0x3d2b86a05651846a60bdd4f927be72289724e073b1f5986d3ee36f83cb8794e9</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+1,200.0000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$289,944.00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EC22EE8G4G77FBE62AA7B9D5CG34E4EAEAD899E32BB91E3D84E37A5422D4C69D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T-204618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-289,944.0000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-$289,944.00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GE6EDE1DG14DA24786185CDDG4BC1A2G9F5GB8C82EGCA4D596C9B84EDDBGGDB4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+169,036.0000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$169,036.00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32E6G246E8F6F9E1A574C79E837GF32A311DG319AAE2168AFG6CF22F966E55BC</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T-204628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2026-04-23</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Solana Mainnet</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-$169,036.00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3C4B54891G9ABDG4431832G9E79GFD96D68F94CAA6C194AF9829EC41EED53AD4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0x22cb4a2df220a42dd5adfd399ed4a3d793e950fc67a2078425874b0eaa76ffa8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T-204700</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MT103-3DA915-EEB5F391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$750,000.00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0x3ce8ae07bb1e720c505541aabbda70235abf740af9b44f001e70d75cde9c7e05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T-204711</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2026-04-11</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-750,000.0000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-$750,000.00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MT103-2555FA-8C61E2D4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0xf3d4cc092ccef51dfe7b79d35a3aeee0ccdbf4b81b27aef4822b28e4968f7ac3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T-204724</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MT103-2892F8-75524183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+10.0000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$810,000.00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bc1qDB38BEA69G73975DEGDG7542FF5GGC7B3958529</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T-204708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2026-04-08</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-810,000.0000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-$810,000.00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MT103-24A8FB-68EC2222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Bitcoin</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$405,000.00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bc1q6FC621AED58BG789177EF75F3AG6BG8561C36CB</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T-204732</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2026-04-25</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-405,000.0000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-$405,000.00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MT103-ECCF06-4B4A4815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$500,000.00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MT103-0ADE9C-A58CAD6D</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T-204715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2026-04-14</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-$500,000.00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0xf14bc83b01aced7be44f16fdb09cfbc3023db68cb7f7639c1154741100556dde</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$250,000.00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MT103-9EC643-BB633765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T-204745</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2026-04-29</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-250,000.0000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-$250,000.00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0x2b4fd5c86e4520d017dd9b3a261b1ce8ba7385d1a920bac49ffa8a0596bb635b</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tcBorders>
              <w:bottom w:val="single" w:sz="4" w:color="D0D5DD"/>
            </w:tcBorders>
            <w:vAlign w:val="center"/>
          </w:tcPr>
          <w:p>
            <w:pPr>
              <w:spacing w:before="40" w:after="40"/>
            </w:pPr>
            <w:r>
              <w:rPr>
                <w:rFonts w:ascii="Arial" w:hAnsi="Arial"/>
                <w:rFonts w:ascii="Arial" w:hAnsi="Arial" w:cs="Arial"/>
                <w:b/>
                <w:i w:val="0"/>
                <w:color w:val="15803D"/>
                <w:sz w:val="13"/>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3"/>
              </w:rPr>
              <w:t>USD</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3"/>
              </w:rPr>
              <w:t>Bank</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3"/>
              </w:rPr>
              <w:t>+211,500.0000</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15803D"/>
                <w:sz w:val="13"/>
              </w:rPr>
              <w:t>$211,500.00</w:t>
            </w:r>
          </w:p>
        </w:tc>
        <w:tc>
          <w:tcPr>
            <w:tcW w:type="dxa" w:w="3175"/>
            <w:tcBorders>
              <w:bottom w:val="single" w:sz="4" w:color="D0D5DD"/>
            </w:tcBorders>
            <w:vAlign w:val="center"/>
          </w:tcPr>
          <w:p>
            <w:pPr>
              <w:spacing w:before="40" w:after="40"/>
              <w:jc w:val="right"/>
            </w:pPr>
            <w:r>
              <w:rPr>
                <w:rFonts w:ascii="Arial" w:hAnsi="Arial"/>
                <w:rFonts w:ascii="Arial" w:hAnsi="Arial" w:cs="Arial"/>
                <w:b w:val="0"/>
                <w:i w:val="0"/>
                <w:color w:val="4A5568"/>
                <w:sz w:val="13"/>
              </w:rPr>
              <w:t>MT103-F97DD2-2EAD7616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T-204738</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2026-04-26</w:t>
            </w:r>
          </w:p>
        </w:tc>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3"/>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3"/>
              </w:rPr>
              <w:t>Ethereum</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-50.0000</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3"/>
              </w:rPr>
              <w:t>-$211,500.00</w:t>
            </w:r>
          </w:p>
        </w:tc>
        <w:tc>
          <w:tcPr>
            <w:tcW w:type="dxa" w:w="3175"/>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3"/>
              </w:rPr>
              <w:t>0x24564dd0d34fecb30ea5f9ca13f5a4ddee7a063cee3a837ccfb65227ccec3b7d</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HT Markets (SVG) Ltd:</w:t>
      </w:r>
    </w:p>
    <w:p>
      <w:pPr>
        <w:spacing w:before="0" w:after="0"/>
      </w:pPr>
      <w:r>
        <w:rPr>
          <w:rFonts w:ascii="Arial" w:hAnsi="Arial"/>
          <w:rFonts w:ascii="Arial" w:hAnsi="Arial" w:cs="Arial"/>
          <w:b w:val="0"/>
          <w:i w:val="0"/>
          <w:color w:val="0A2342"/>
          <w:sz w:val="18"/>
        </w:rPr>
        <w:t>The client must review the information in the monthly statement and give HT Markets (SVG) Ltd written notice of any suspected error or omission as soon as reasonably possible (in any event, no later than 7 days of accessing / receiving the statement). HT Markets (SVG) Ltd will not be liable with respect to any error or omission in the monthly statement (including any reliance on any such error or omission) unless the client has timely objected in writing as aforementioned, unless such error or omission is the result of HT Markets (SVG) Ltd's bad faith or willful default. HT Markets (SVG) Ltd acts as principal for all OTC trades; statement reflects executed trade activity and settlement movements.</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