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OTC Trading</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Legal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Name</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 — Custody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21a4bf26-8dcc-11ee-9b69-2346469ca27d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Custodian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Hex Trust MENA FZE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OTC Trading Activity</w:t>
      </w:r>
    </w:p>
    <w:tbl>
      <w:tblPr>
        <w:tblW w:type="auto" w:w="0"/>
        <w:jc w:val="left"/>
        <w:tblLayout w:type="fixed"/>
        <w:tblLook w:firstColumn="1" w:firstRow="1" w:lastColumn="0" w:lastRow="0" w:noHBand="0" w:noVBand="1" w:val="04A0"/>
      </w:tblPr>
      <w:tblGrid>
        <w:gridCol w:w="5386"/>
        <w:gridCol w:w="4479"/>
      </w:tblGrid>
      <w:tr>
        <w:trPr>
          <w:trHeight w:val="420" w:hRule="atLeast"/>
        </w:trPr>
        <w:tc>
          <w:tcPr>
            <w:tcW w:type="dxa" w:w="5386"/>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4479"/>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Total trades booked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16</w:t>
            </w:r>
          </w:p>
        </w:tc>
      </w:tr>
      <w:tr>
        <w:tc>
          <w:tcPr>
            <w:tcW w:type="dxa" w:w="538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Total notional traded (gross, USD)</w:t>
            </w:r>
          </w:p>
        </w:tc>
        <w:tc>
          <w:tcPr>
            <w:tcW w:type="dxa" w:w="4479"/>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$6,213,840.00</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Settled at period end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14 of 16</w:t>
            </w:r>
          </w:p>
        </w:tc>
      </w:tr>
      <w:tr>
        <w:tc>
          <w:tcPr>
            <w:tcW w:type="dxa" w:w="5386"/>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Unsettled at period end</w:t>
            </w:r>
          </w:p>
        </w:tc>
        <w:tc>
          <w:tcPr>
            <w:tcW w:type="dxa" w:w="4479"/>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7"/>
              </w:rPr>
              <w:t>2 trade(s) totalling $367,520.00</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3 — OTC Trading (Simplified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OTC trade activity for the period, rolled up by trading pair. Settlement asset movements are recorded in the Custody section as Market Settlement-In / Market Settlement-Out and are not duplicated here. Individual trade detail is provided in the Detailed view.</w:t>
      </w:r>
    </w:p>
    <w:p>
      <w:pPr>
        <w:spacing w:before="360" w:after="120"/>
      </w:pPr>
      <w:r>
        <w:rPr>
          <w:rFonts w:ascii="Arial" w:hAnsi="Arial"/>
          <w:rFonts w:ascii="Arial" w:hAnsi="Arial" w:cs="Arial"/>
          <w:b/>
          <w:i w:val="0"/>
          <w:color w:val="0A2342"/>
          <w:sz w:val="28"/>
        </w:rPr>
        <w:t>Activity by Trading Pair</w:t>
      </w:r>
    </w:p>
    <w:tbl>
      <w:tblPr>
        <w:tblW w:type="auto" w:w="0"/>
        <w:jc w:val="left"/>
        <w:tblLayout w:type="fixed"/>
        <w:tblLook w:firstColumn="1" w:firstRow="1" w:lastColumn="0" w:lastRow="0" w:noHBand="0" w:noVBand="1" w:val="04A0"/>
      </w:tblPr>
      <w:tblGrid>
        <w:gridCol w:w="1247"/>
        <w:gridCol w:w="907"/>
        <w:gridCol w:w="1701"/>
        <w:gridCol w:w="1814"/>
        <w:gridCol w:w="1587"/>
        <w:gridCol w:w="1020"/>
        <w:gridCol w:w="1587"/>
      </w:tblGrid>
      <w:tr>
        <w:trPr>
          <w:trHeight w:val="420" w:hRule="atLeast"/>
        </w:trPr>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Pair</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 Trades</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Gross Notional (USD)</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Net Base Qty</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Avg Exec Price (USD)</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Unsettled</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BTC/USDC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4</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$4,250,500.00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15803D"/>
                <w:sz w:val="16"/>
              </w:rPr>
              <w:t>+52.3500 BTC</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$81,191.00</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4</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USDT/USDC</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$1,124,237.67</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+1,124,000.0000 USDT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$0.9994</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ETH/USDC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3</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$478,000.00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B91C1C"/>
                <w:sz w:val="16"/>
              </w:rPr>
              <w:t>-30.0000 ETH</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$4,243.33</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587"/>
            <w:tcBorders>
              <w:bottom w:val="single" w:sz="4" w:color="D0D5DD"/>
            </w:tcBorders>
            <w:vAlign w:val="center"/>
          </w:tcPr>
          <w:p>
            <w:pPr>
              <w:spacing w:before="40" w:after="40"/>
              <w:jc w:val="right"/>
            </w:pPr>
            <w:r>
              <w:rPr>
                <w:rFonts w:ascii="Arial" w:hAnsi="Arial"/>
                <w:rFonts w:ascii="Arial" w:hAnsi="Arial" w:cs="Arial"/>
                <w:b/>
                <w:i w:val="0"/>
                <w:color w:val="B45309"/>
                <w:sz w:val="16"/>
              </w:rPr>
              <w:t>1</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BTC/USDT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$240,320.00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+3.0625 BTC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$78,471.84</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i w:val="0"/>
                <w:color w:val="B45309"/>
                <w:sz w:val="16"/>
              </w:rPr>
              <w:t>1</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6"/>
              </w:rPr>
              <w:t>SOL/USDC</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$120,782.33</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15803D"/>
                <w:sz w:val="16"/>
              </w:rPr>
              <w:t>+500.0000 SOL</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$241.56</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2</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16</w:t>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$6,213,840.00</w:t>
            </w:r>
          </w:p>
        </w:tc>
        <w:tc>
          <w:tcPr>
            <w:tcW w:type="dxa" w:w="181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w:t>
            </w:r>
          </w:p>
        </w:tc>
        <w:tc>
          <w:tcPr>
            <w:tcW w:type="dxa" w:w="1020"/>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14</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w:t>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9866"/>
      </w:tblGrid>
      <w:tr>
        <w:tc>
          <w:tcPr>
            <w:tcW w:type="dxa" w:w="986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 xml:space="preserve">All-in price: </w:t>
            </w:r>
            <w:r>
              <w:rPr>
                <w:rFonts w:ascii="Arial" w:hAnsi="Arial"/>
                <w:rFonts w:ascii="Arial" w:hAnsi="Arial" w:cs="Arial"/>
                <w:b w:val="0"/>
                <w:i w:val="0"/>
                <w:color w:val="0A2342"/>
                <w:sz w:val="18"/>
              </w:rPr>
              <w:t>HT Markets (SVG) Ltd acts as principal and provides an all-inclusive price. No separate trading fees or commissions are charged. A spread may be embedded in the quoted price.</w:t>
            </w:r>
          </w:p>
        </w:tc>
      </w:tr>
    </w:tbl>
    <w:p>
      <w:pPr>
        <w:sectPr>
          <w:pgSz w:w="11906" w:h="16838"/>
          <w:pgMar w:top="1134" w:right="1020" w:bottom="1134" w:left="102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 — Hex Trust MENA FZE:</w:t>
      </w:r>
    </w:p>
    <w:p>
      <w:pPr>
        <w:spacing w:before="0" w:after="0"/>
      </w:pPr>
      <w:r>
        <w:rPr>
          <w:rFonts w:ascii="Arial" w:hAnsi="Arial"/>
          <w:rFonts w:ascii="Arial" w:hAnsi="Arial" w:cs="Arial"/>
          <w:b w:val="0"/>
          <w:i w:val="0"/>
          <w:color w:val="0A2342"/>
          <w:sz w:val="18"/>
        </w:rPr>
        <w:t>The client must review the information in the monthly statement and give Hex Trust MENA FZE written notice of any suspected error or omission as soon as reasonably possible (in any event, no later than 7 days of accessing / receiving the statement). Hex Trust MENA FZE will not be liable with respect to any error or omission in the monthly statement (including any reliance on any such error or omission) unless the client has timely objected in writing as aforementioned, unless such error or omission is the result of Hex Trust MENA FZE's bad faith or willful default. Hex Trust MENA FZE is regulated by the Virtual Assets Regulatory Authority (VARA), Dubai.</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