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0"/>
      </w:pPr>
      <w:r>
        <w:rPr>
          <w:rFonts w:ascii="Arial" w:hAnsi="Arial"/>
          <w:rFonts w:ascii="Arial" w:hAnsi="Arial" w:cs="Arial"/>
          <w:b w:val="0"/>
          <w:i w:val="0"/>
          <w:color w:val="4A5568"/>
          <w:sz w:val="20"/>
        </w:rPr>
        <w:t>07 May 2026</w:t>
      </w:r>
    </w:p>
    <w:p>
      <w:pPr>
        <w:spacing w:before="0" w:after="0"/>
      </w:pPr>
      <w:r>
        <w:rPr>
          <w:rFonts w:ascii="Arial" w:hAnsi="Arial"/>
          <w:rFonts w:ascii="Arial" w:hAnsi="Arial" w:cs="Arial"/>
          <w:b/>
          <w:i w:val="0"/>
          <w:color w:val="0A2342"/>
          <w:sz w:val="84"/>
        </w:rPr>
        <w:t>Vault</w:t>
      </w:r>
    </w:p>
    <w:p>
      <w:pPr>
        <w:spacing w:before="0" w:after="280"/>
      </w:pPr>
      <w:r>
        <w:rPr>
          <w:rFonts w:ascii="Arial" w:hAnsi="Arial"/>
          <w:rFonts w:ascii="Arial" w:hAnsi="Arial" w:cs="Arial"/>
          <w:b/>
          <w:i w:val="0"/>
          <w:color w:val="0A2342"/>
          <w:sz w:val="84"/>
        </w:rPr>
        <w:t>Statement</w:t>
      </w:r>
    </w:p>
    <w:p>
      <w:pPr>
        <w:pBdr>
          <w:bottom w:val="single" w:sz="16" w:color="0A2342" w:space="1"/>
        </w:pBdr>
      </w:pPr>
      <w:r>
        <w:t xml:space="preserve"> </w:t>
      </w:r>
    </w:p>
    <w:p>
      <w:pPr>
        <w:spacing w:before="200" w:after="40"/>
      </w:pPr>
      <w:r>
        <w:rPr>
          <w:rFonts w:ascii="Arial" w:hAnsi="Arial"/>
          <w:rFonts w:ascii="Arial" w:hAnsi="Arial" w:cs="Arial"/>
          <w:b w:val="0"/>
          <w:i w:val="0"/>
          <w:color w:val="4A5568"/>
          <w:sz w:val="40"/>
        </w:rPr>
        <w:t>HT Markets MENA FZE</w:t>
      </w:r>
    </w:p>
    <w:p>
      <w:pPr>
        <w:spacing w:before="0" w:after="6400"/>
      </w:pPr>
      <w:r>
        <w:rPr>
          <w:rFonts w:ascii="Arial" w:hAnsi="Arial"/>
          <w:rFonts w:ascii="Arial" w:hAnsi="Arial" w:cs="Arial"/>
          <w:b w:val="0"/>
          <w:i w:val="0"/>
          <w:color w:val="4A5568"/>
          <w:sz w:val="22"/>
        </w:rPr>
        <w:t>01 Apr 2026 - 30 Apr 2026</w:t>
      </w:r>
    </w:p>
    <w:p>
      <w:pPr>
        <w:spacing w:before="6400" w:after="0"/>
      </w:pPr>
      <w:r>
        <w:rPr>
          <w:rFonts w:ascii="Arial" w:hAnsi="Arial"/>
          <w:rFonts w:ascii="Arial" w:hAnsi="Arial" w:cs="Arial"/>
          <w:b w:val="0"/>
          <w:i w:val="0"/>
          <w:color w:val="4A5568"/>
          <w:sz w:val="20"/>
        </w:rPr>
        <w:t>Custody  ·  Markets  ·  Asset Servicing</w:t>
      </w:r>
    </w:p>
    <w:p>
      <w:r>
        <w:br w:type="page"/>
      </w: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1 — Statement Summary</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360" w:after="120"/>
      </w:pPr>
      <w:r>
        <w:rPr>
          <w:rFonts w:ascii="Arial" w:hAnsi="Arial"/>
          <w:rFonts w:ascii="Arial" w:hAnsi="Arial" w:cs="Arial"/>
          <w:b/>
          <w:i w:val="0"/>
          <w:color w:val="0A2342"/>
          <w:sz w:val="28"/>
        </w:rPr>
        <w:t>A. Client Identification</w:t>
      </w:r>
    </w:p>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Client Name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HT Markets MENA FZE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Enterprise ID</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ENT-AE-2811</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Statement Period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01 Apr 2026 - 30 Apr 2026</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Reporting Currency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USD (spot @ 23:59:59 UTC on last day of period)</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Generated On</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07 May 2026</w:t>
            </w:r>
          </w:p>
        </w:tc>
      </w:tr>
    </w:tbl>
    <w:p>
      <w:pPr>
        <w:spacing w:before="360" w:after="120"/>
      </w:pPr>
      <w:r>
        <w:rPr>
          <w:rFonts w:ascii="Arial" w:hAnsi="Arial"/>
          <w:rFonts w:ascii="Arial" w:hAnsi="Arial" w:cs="Arial"/>
          <w:b/>
          <w:i w:val="0"/>
          <w:color w:val="0A2342"/>
          <w:sz w:val="28"/>
        </w:rPr>
        <w:t>B. Assets Under Custody (AUC)</w:t>
      </w:r>
    </w:p>
    <w:p>
      <w:pPr>
        <w:spacing w:before="0" w:after="120"/>
      </w:pPr>
      <w:r>
        <w:rPr>
          <w:rFonts w:ascii="Arial" w:hAnsi="Arial"/>
          <w:rFonts w:ascii="Arial" w:hAnsi="Arial" w:cs="Arial"/>
          <w:b w:val="0"/>
          <w:i w:val="0"/>
          <w:color w:val="4A5568"/>
          <w:sz w:val="18"/>
        </w:rPr>
        <w:t>AUC = Spendable + Staked + Vesting balance across all vaults. Excludes lent assets and borrowed liabilities.</w:t>
      </w:r>
    </w:p>
    <w:tbl>
      <w:tblPr>
        <w:tblW w:type="auto" w:w="0"/>
        <w:jc w:val="left"/>
        <w:tblLayout w:type="fixed"/>
        <w:tblLook w:firstColumn="1" w:firstRow="1" w:lastColumn="0" w:lastRow="0" w:noHBand="0" w:noVBand="1" w:val="04A0"/>
      </w:tblPr>
      <w:tblGrid>
        <w:gridCol w:w="1984"/>
        <w:gridCol w:w="3118"/>
        <w:gridCol w:w="4762"/>
      </w:tblGrid>
      <w:tr>
        <w:trPr>
          <w:trHeight w:val="420" w:hRule="atLeast"/>
        </w:trPr>
        <w:tc>
          <w:tcPr>
            <w:tcW w:type="dxa" w:w="198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Snapshot</w:t>
            </w:r>
          </w:p>
        </w:tc>
        <w:tc>
          <w:tcPr>
            <w:tcW w:type="dxa" w:w="311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Timestamp (UTC)</w:t>
            </w:r>
          </w:p>
        </w:tc>
        <w:tc>
          <w:tcPr>
            <w:tcW w:type="dxa" w:w="4762"/>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AUC (USD)</w:t>
            </w:r>
          </w:p>
        </w:tc>
      </w:tr>
      <w:tr>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9"/>
              </w:rPr>
              <w:t>Opening</w:t>
            </w:r>
          </w:p>
        </w:tc>
        <w:tc>
          <w:tcPr>
            <w:tcW w:type="dxa" w:w="3118"/>
            <w:tcBorders>
              <w:bottom w:val="single" w:sz="4" w:color="D0D5DD"/>
            </w:tcBorders>
            <w:vAlign w:val="center"/>
          </w:tcPr>
          <w:p>
            <w:pPr>
              <w:spacing w:before="40" w:after="40"/>
            </w:pPr>
            <w:r>
              <w:rPr>
                <w:rFonts w:ascii="Arial" w:hAnsi="Arial"/>
                <w:rFonts w:ascii="Arial" w:hAnsi="Arial" w:cs="Arial"/>
                <w:b w:val="0"/>
                <w:i w:val="0"/>
                <w:color w:val="4A5568"/>
                <w:sz w:val="19"/>
              </w:rPr>
              <w:t>2026-03-31 23:59:59</w:t>
            </w:r>
          </w:p>
        </w:tc>
        <w:tc>
          <w:tcPr>
            <w:tcW w:type="dxa" w:w="4762"/>
            <w:tcBorders>
              <w:bottom w:val="single" w:sz="4" w:color="D0D5DD"/>
            </w:tcBorders>
            <w:vAlign w:val="center"/>
          </w:tcPr>
          <w:p>
            <w:pPr>
              <w:spacing w:before="40" w:after="40"/>
              <w:jc w:val="right"/>
            </w:pPr>
            <w:r>
              <w:rPr>
                <w:rFonts w:ascii="Arial" w:hAnsi="Arial"/>
                <w:rFonts w:ascii="Arial" w:hAnsi="Arial" w:cs="Arial"/>
                <w:b w:val="0"/>
                <w:i w:val="0"/>
                <w:color w:val="4A5568"/>
                <w:sz w:val="19"/>
              </w:rPr>
              <w:t>$681,245.18</w:t>
            </w:r>
          </w:p>
        </w:tc>
      </w:tr>
      <w:tr>
        <w:tc>
          <w:tcPr>
            <w:tcW w:type="dxa" w:w="198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Closing</w:t>
            </w:r>
          </w:p>
        </w:tc>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9"/>
              </w:rPr>
              <w:t>2026-04-30 23:59:59</w:t>
            </w:r>
          </w:p>
        </w:tc>
        <w:tc>
          <w:tcPr>
            <w:tcW w:type="dxa" w:w="4762"/>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9"/>
              </w:rPr>
              <w:t>$758,974.12</w:t>
            </w:r>
          </w:p>
        </w:tc>
      </w:tr>
      <w:tr>
        <w:tc>
          <w:tcPr>
            <w:tcW w:type="dxa" w:w="1984"/>
            <w:tcBorders>
              <w:bottom w:val="single" w:sz="4" w:color="D0D5DD"/>
            </w:tcBorders>
            <w:vAlign w:val="center"/>
          </w:tcPr>
          <w:p>
            <w:pPr>
              <w:spacing w:before="40" w:after="40"/>
            </w:pPr>
            <w:r>
              <w:rPr>
                <w:rFonts w:ascii="Arial" w:hAnsi="Arial"/>
                <w:rFonts w:ascii="Arial" w:hAnsi="Arial" w:cs="Arial"/>
                <w:b w:val="0"/>
                <w:i w:val="0"/>
                <w:color w:val="4A5568"/>
                <w:sz w:val="19"/>
              </w:rPr>
              <w:t>Change</w:t>
            </w:r>
          </w:p>
        </w:tc>
        <w:tc>
          <w:tcPr>
            <w:tcW w:type="dxa" w:w="3118"/>
            <w:tcBorders>
              <w:bottom w:val="single" w:sz="4" w:color="D0D5DD"/>
            </w:tcBorders>
            <w:vAlign w:val="center"/>
          </w:tcPr>
          <w:p>
            <w:pPr>
              <w:spacing w:before="40" w:after="40"/>
            </w:pPr>
            <w:r>
              <w:rPr>
                <w:rFonts w:ascii="Arial" w:hAnsi="Arial"/>
                <w:rFonts w:ascii="Arial" w:hAnsi="Arial" w:cs="Arial"/>
                <w:b w:val="0"/>
                <w:i w:val="0"/>
                <w:color w:val="4A5568"/>
                <w:sz w:val="19"/>
              </w:rPr>
              <w:t>—</w:t>
            </w:r>
          </w:p>
        </w:tc>
        <w:tc>
          <w:tcPr>
            <w:tcW w:type="dxa" w:w="4762"/>
            <w:tcBorders>
              <w:bottom w:val="single" w:sz="4" w:color="D0D5DD"/>
            </w:tcBorders>
            <w:vAlign w:val="center"/>
          </w:tcPr>
          <w:p>
            <w:pPr>
              <w:spacing w:before="40" w:after="40"/>
              <w:jc w:val="right"/>
            </w:pPr>
            <w:r>
              <w:rPr>
                <w:rFonts w:ascii="Arial" w:hAnsi="Arial"/>
                <w:rFonts w:ascii="Arial" w:hAnsi="Arial" w:cs="Arial"/>
                <w:b/>
                <w:i w:val="0"/>
                <w:color w:val="15803D"/>
                <w:sz w:val="19"/>
              </w:rPr>
              <w:t>+$77,728.94  (+11.41%)</w:t>
            </w:r>
          </w:p>
        </w:tc>
      </w:tr>
    </w:tbl>
    <w:p>
      <w:pPr>
        <w:spacing w:before="360" w:after="120"/>
      </w:pPr>
      <w:r>
        <w:rPr>
          <w:rFonts w:ascii="Arial" w:hAnsi="Arial"/>
          <w:rFonts w:ascii="Arial" w:hAnsi="Arial" w:cs="Arial"/>
          <w:b/>
          <w:i w:val="0"/>
          <w:color w:val="0A2342"/>
          <w:sz w:val="28"/>
        </w:rPr>
        <w:t>C. OTC Trading Activity (period)</w:t>
      </w:r>
    </w:p>
    <w:tbl>
      <w:tblPr>
        <w:tblW w:type="auto" w:w="0"/>
        <w:jc w:val="left"/>
        <w:tblLayout w:type="fixed"/>
        <w:tblLook w:firstColumn="1" w:firstRow="1" w:lastColumn="0" w:lastRow="0" w:noHBand="0" w:noVBand="1" w:val="04A0"/>
      </w:tblPr>
      <w:tblGrid>
        <w:gridCol w:w="5386"/>
        <w:gridCol w:w="4479"/>
      </w:tblGrid>
      <w:tr>
        <w:trPr>
          <w:trHeight w:val="420" w:hRule="atLeast"/>
        </w:trPr>
        <w:tc>
          <w:tcPr>
            <w:tcW w:type="dxa" w:w="5386"/>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4479"/>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Total trades booked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16</w:t>
            </w:r>
          </w:p>
        </w:tc>
      </w:tr>
      <w:tr>
        <w:tc>
          <w:tcPr>
            <w:tcW w:type="dxa" w:w="538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Total notional traded (gross, USD)</w:t>
            </w:r>
          </w:p>
        </w:tc>
        <w:tc>
          <w:tcPr>
            <w:tcW w:type="dxa" w:w="4479"/>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$6,213,840.00</w:t>
            </w:r>
          </w:p>
        </w:tc>
      </w:tr>
      <w:tr>
        <w:tc>
          <w:tcPr>
            <w:tcW w:type="dxa" w:w="5386"/>
            <w:tcBorders>
              <w:bottom w:val="single" w:sz="4" w:color="D0D5DD"/>
            </w:tcBorders>
            <w:vAlign w:val="center"/>
          </w:tcPr>
          <w:p>
            <w:pPr>
              <w:spacing w:before="40" w:after="40"/>
            </w:pPr>
            <w:r>
              <w:rPr>
                <w:rFonts w:ascii="Arial" w:hAnsi="Arial"/>
                <w:rFonts w:ascii="Arial" w:hAnsi="Arial" w:cs="Arial"/>
                <w:b w:val="0"/>
                <w:i w:val="0"/>
                <w:color w:val="4A5568"/>
                <w:sz w:val="17"/>
              </w:rPr>
              <w:t>Settled at period end</w:t>
            </w:r>
          </w:p>
        </w:tc>
        <w:tc>
          <w:tcPr>
            <w:tcW w:type="dxa" w:w="4479"/>
            <w:tcBorders>
              <w:bottom w:val="single" w:sz="4" w:color="D0D5DD"/>
            </w:tcBorders>
            <w:vAlign w:val="center"/>
          </w:tcPr>
          <w:p>
            <w:pPr>
              <w:spacing w:before="40" w:after="40"/>
              <w:jc w:val="right"/>
            </w:pPr>
            <w:r>
              <w:rPr>
                <w:rFonts w:ascii="Arial" w:hAnsi="Arial"/>
                <w:rFonts w:ascii="Arial" w:hAnsi="Arial" w:cs="Arial"/>
                <w:b w:val="0"/>
                <w:i w:val="0"/>
                <w:color w:val="4A5568"/>
                <w:sz w:val="17"/>
              </w:rPr>
              <w:t>14 of 16</w:t>
            </w:r>
          </w:p>
        </w:tc>
      </w:tr>
      <w:tr>
        <w:tc>
          <w:tcPr>
            <w:tcW w:type="dxa" w:w="5386"/>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Unsettled at period end</w:t>
            </w:r>
          </w:p>
        </w:tc>
        <w:tc>
          <w:tcPr>
            <w:tcW w:type="dxa" w:w="4479"/>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7"/>
              </w:rPr>
              <w:t>2 trade(s) totalling $367,520.00</w:t>
            </w:r>
          </w:p>
        </w:tc>
      </w:tr>
    </w:tbl>
    <w:p>
      <w:pPr>
        <w:spacing w:before="360" w:after="120"/>
      </w:pPr>
      <w:r>
        <w:rPr>
          <w:rFonts w:ascii="Arial" w:hAnsi="Arial"/>
          <w:rFonts w:ascii="Arial" w:hAnsi="Arial" w:cs="Arial"/>
          <w:b/>
          <w:i w:val="0"/>
          <w:color w:val="0A2342"/>
          <w:sz w:val="28"/>
        </w:rPr>
        <w:t>D. Loans — open positions at period end</w:t>
      </w:r>
    </w:p>
    <w:tbl>
      <w:tblPr>
        <w:tblW w:type="auto" w:w="0"/>
        <w:jc w:val="left"/>
        <w:tblLayout w:type="fixed"/>
        <w:tblLook w:firstColumn="1" w:firstRow="1" w:lastColumn="0" w:lastRow="0" w:noHBand="0" w:noVBand="1" w:val="04A0"/>
      </w:tblPr>
      <w:tblGrid>
        <w:gridCol w:w="3402"/>
        <w:gridCol w:w="6463"/>
      </w:tblGrid>
      <w:tr>
        <w:trPr>
          <w:trHeight w:val="420" w:hRule="atLeast"/>
        </w:trPr>
        <w:tc>
          <w:tcPr>
            <w:tcW w:type="dxa" w:w="3402"/>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Metric</w:t>
            </w:r>
          </w:p>
        </w:tc>
        <w:tc>
          <w:tcPr>
            <w:tcW w:type="dxa" w:w="6463"/>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Value</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Open borrowing positions</w:t>
            </w:r>
          </w:p>
        </w:tc>
        <w:tc>
          <w:tcPr>
            <w:tcW w:type="dxa" w:w="6463"/>
            <w:tcBorders>
              <w:bottom w:val="single" w:sz="4" w:color="D0D5DD"/>
            </w:tcBorders>
            <w:vAlign w:val="center"/>
          </w:tcPr>
          <w:p>
            <w:pPr>
              <w:spacing w:before="40" w:after="40"/>
              <w:jc w:val="right"/>
            </w:pPr>
            <w:r>
              <w:rPr>
                <w:rFonts w:ascii="Arial" w:hAnsi="Arial"/>
                <w:rFonts w:ascii="Arial" w:hAnsi="Arial" w:cs="Arial"/>
                <w:b w:val="0"/>
                <w:i w:val="0"/>
                <w:color w:val="4A5568"/>
                <w:sz w:val="17"/>
              </w:rPr>
              <w:t>1  (Borrowed: $2,000,000.00  ·  Collateral posted: $2,676,577.50)</w:t>
            </w:r>
          </w:p>
        </w:tc>
      </w:tr>
      <w:tr>
        <w:tc>
          <w:tcPr>
            <w:tcW w:type="dxa" w:w="3402"/>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Open lending positions</w:t>
            </w:r>
          </w:p>
        </w:tc>
        <w:tc>
          <w:tcPr>
            <w:tcW w:type="dxa" w:w="6463"/>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  (Lent: $226,000.00)</w:t>
            </w:r>
          </w:p>
        </w:tc>
      </w:tr>
      <w:tr>
        <w:tc>
          <w:tcPr>
            <w:tcW w:type="dxa" w:w="3402"/>
            <w:tcBorders>
              <w:bottom w:val="single" w:sz="4" w:color="D0D5DD"/>
            </w:tcBorders>
            <w:vAlign w:val="center"/>
          </w:tcPr>
          <w:p>
            <w:pPr>
              <w:spacing w:before="40" w:after="40"/>
            </w:pPr>
            <w:r>
              <w:rPr>
                <w:rFonts w:ascii="Arial" w:hAnsi="Arial"/>
                <w:rFonts w:ascii="Arial" w:hAnsi="Arial" w:cs="Arial"/>
                <w:b w:val="0"/>
                <w:i w:val="0"/>
                <w:color w:val="4A5568"/>
                <w:sz w:val="17"/>
              </w:rPr>
              <w:t>Net loan position (Lent − Borrowed)</w:t>
            </w:r>
          </w:p>
        </w:tc>
        <w:tc>
          <w:tcPr>
            <w:tcW w:type="dxa" w:w="6463"/>
            <w:tcBorders>
              <w:bottom w:val="single" w:sz="4" w:color="D0D5DD"/>
            </w:tcBorders>
            <w:vAlign w:val="center"/>
          </w:tcPr>
          <w:p>
            <w:pPr>
              <w:spacing w:before="40" w:after="40"/>
              <w:jc w:val="right"/>
            </w:pPr>
            <w:r>
              <w:rPr>
                <w:rFonts w:ascii="Arial" w:hAnsi="Arial"/>
                <w:rFonts w:ascii="Arial" w:hAnsi="Arial" w:cs="Arial"/>
                <w:b/>
                <w:i w:val="0"/>
                <w:color w:val="B91C1C"/>
                <w:sz w:val="17"/>
              </w:rPr>
              <w:t>-$1,774,000.00</w:t>
            </w:r>
          </w:p>
        </w:tc>
      </w:tr>
    </w:tbl>
    <w:p>
      <w:pPr>
        <w:spacing w:before="360" w:after="120"/>
      </w:pPr>
      <w:r>
        <w:rPr>
          <w:rFonts w:ascii="Arial" w:hAnsi="Arial"/>
          <w:rFonts w:ascii="Arial" w:hAnsi="Arial" w:cs="Arial"/>
          <w:b/>
          <w:i w:val="0"/>
          <w:color w:val="0A2342"/>
          <w:sz w:val="28"/>
        </w:rPr>
        <w:t>E. Pending Items</w:t>
      </w:r>
    </w:p>
    <w:p>
      <w:pPr>
        <w:spacing w:before="0" w:after="120"/>
      </w:pPr>
      <w:r>
        <w:rPr>
          <w:rFonts w:ascii="Arial" w:hAnsi="Arial"/>
          <w:rFonts w:ascii="Arial" w:hAnsi="Arial" w:cs="Arial"/>
          <w:b w:val="0"/>
          <w:i w:val="0"/>
          <w:color w:val="4A5568"/>
          <w:sz w:val="18"/>
        </w:rPr>
        <w:t>Open items at end of period: travel-rule declarations awaiting client action, and OTC trades pending settlement.</w:t>
      </w:r>
    </w:p>
    <w:tbl>
      <w:tblPr>
        <w:tblW w:type="auto" w:w="0"/>
        <w:jc w:val="left"/>
        <w:tblLayout w:type="fixed"/>
        <w:tblLook w:firstColumn="1" w:firstRow="1" w:lastColumn="0" w:lastRow="0" w:noHBand="0" w:noVBand="1" w:val="04A0"/>
      </w:tblPr>
      <w:tblGrid>
        <w:gridCol w:w="1587"/>
        <w:gridCol w:w="1814"/>
        <w:gridCol w:w="6463"/>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Topic</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Status</w:t>
            </w:r>
          </w:p>
        </w:tc>
        <w:tc>
          <w:tcPr>
            <w:tcW w:type="dxa" w:w="6463"/>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Summary</w:t>
            </w:r>
          </w:p>
        </w:tc>
      </w:tr>
      <w:tr>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Travel Rule</w:t>
            </w:r>
          </w:p>
        </w:tc>
        <w:tc>
          <w:tcPr>
            <w:tcW w:type="dxa" w:w="1814"/>
            <w:shd w:val="clear" w:color="auto" w:fill="FEF3C7"/>
            <w:tcBorders>
              <w:bottom w:val="single" w:sz="4" w:color="D0D5DD"/>
            </w:tcBorders>
            <w:vAlign w:val="center"/>
          </w:tcPr>
          <w:p>
            <w:pPr>
              <w:spacing w:before="40" w:after="40"/>
            </w:pPr>
            <w:r>
              <w:rPr>
                <w:rFonts w:ascii="Arial" w:hAnsi="Arial"/>
                <w:rFonts w:ascii="Arial" w:hAnsi="Arial" w:cs="Arial"/>
                <w:b/>
                <w:i w:val="0"/>
                <w:color w:val="B45309"/>
                <w:sz w:val="17"/>
              </w:rPr>
              <w:t>● Action required</w:t>
            </w:r>
          </w:p>
        </w:tc>
        <w:tc>
          <w:tcPr>
            <w:tcW w:type="dxa" w:w="6463"/>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3 transaction(s) totalling $1,938,386.97 are flagged 'Travel Rule declaration pending'. Please resolve via the client portal.</w:t>
            </w:r>
          </w:p>
        </w:tc>
      </w:tr>
      <w:tr>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OTC Settlement</w:t>
            </w:r>
          </w:p>
        </w:tc>
        <w:tc>
          <w:tcPr>
            <w:tcW w:type="dxa" w:w="1814"/>
            <w:shd w:val="clear" w:color="auto" w:fill="FEF3C7"/>
            <w:tcBorders>
              <w:bottom w:val="single" w:sz="4" w:color="D0D5DD"/>
            </w:tcBorders>
            <w:vAlign w:val="center"/>
          </w:tcPr>
          <w:p>
            <w:pPr>
              <w:spacing w:before="40" w:after="40"/>
            </w:pPr>
            <w:r>
              <w:rPr>
                <w:rFonts w:ascii="Arial" w:hAnsi="Arial"/>
                <w:rFonts w:ascii="Arial" w:hAnsi="Arial" w:cs="Arial"/>
                <w:b/>
                <w:i w:val="0"/>
                <w:color w:val="B45309"/>
                <w:sz w:val="17"/>
              </w:rPr>
              <w:t>● Pending settlement</w:t>
            </w:r>
          </w:p>
        </w:tc>
        <w:tc>
          <w:tcPr>
            <w:tcW w:type="dxa" w:w="6463"/>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7"/>
              </w:rPr>
              <w:t>2 OTC trade(s) totalling $367,520.00 are unsettled at end of period. Settlement is handled by Hex Trust — no client action required. See OTC Trading section for full detail.</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2 — Custody (Detailed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Enterprise-rolled-up balances, NFTs, and staking (Sections A-C) reconcile to the sum of the per-vault tables (Section D).</w:t>
      </w:r>
    </w:p>
    <w:p>
      <w:pPr>
        <w:spacing w:before="360" w:after="120"/>
      </w:pPr>
      <w:r>
        <w:rPr>
          <w:rFonts w:ascii="Arial" w:hAnsi="Arial"/>
          <w:rFonts w:ascii="Arial" w:hAnsi="Arial" w:cs="Arial"/>
          <w:b/>
          <w:i w:val="0"/>
          <w:color w:val="0A2342"/>
          <w:sz w:val="28"/>
        </w:rPr>
        <w:t>A. Opening &amp; Closing Balances per Asset (Enterprise-rolled-up)</w:t>
      </w:r>
    </w:p>
    <w:tbl>
      <w:tblPr>
        <w:tblW w:type="auto" w:w="0"/>
        <w:jc w:val="left"/>
        <w:tblLayout w:type="fixed"/>
        <w:tblLook w:firstColumn="1" w:firstRow="1" w:lastColumn="0" w:lastRow="0" w:noHBand="0" w:noVBand="1" w:val="04A0"/>
      </w:tblPr>
      <w:tblGrid>
        <w:gridCol w:w="907"/>
        <w:gridCol w:w="1701"/>
        <w:gridCol w:w="1587"/>
        <w:gridCol w:w="1417"/>
        <w:gridCol w:w="1587"/>
        <w:gridCol w:w="1417"/>
        <w:gridCol w:w="1247"/>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Fiat</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41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Fiat</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656,196.42711000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$655,540.23</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489,913.33977000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$489,673.77</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B91C1C"/>
                <w:sz w:val="15"/>
              </w:rPr>
              <w:t>-$165,866.46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128,859.54296000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$128,730.68</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174,340.63964000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$174,315.91</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+$45,585.23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0.49900000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$35,055.50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0.90190000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$68,927.74</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+$33,872.24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0.13029000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$286.64</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0.12868000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$290.95</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+$4.31</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Arbitrum</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0.04998000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$113.01</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+$113.01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184,436.16179000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$184,251.72</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21,136.69899000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$21,126.36</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-$163,125.36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TRX</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319.51600000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$105.44</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206.37006000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$67.40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B91C1C"/>
                <w:sz w:val="15"/>
              </w:rPr>
              <w:t>-$38.04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870.00000000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$869.57</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+$869.57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105.36293000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$105.36</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3,582.71589000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$3,582.20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+$3,476.84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BNB</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BSC</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0.09988000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$61.46</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+$61.46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0.05754000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$4.79</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0.29176000</w:t>
            </w:r>
          </w:p>
        </w:tc>
        <w:tc>
          <w:tcPr>
            <w:tcW w:type="dxa" w:w="1417"/>
            <w:tcBorders>
              <w:bottom w:val="single" w:sz="4" w:color="D0D5DD"/>
            </w:tcBorders>
            <w:vAlign w:val="center"/>
          </w:tcPr>
          <w:p>
            <w:pPr>
              <w:spacing w:before="40" w:after="40"/>
              <w:jc w:val="right"/>
            </w:pPr>
            <w:r>
              <w:rPr>
                <w:rFonts w:ascii="Arial" w:hAnsi="Arial"/>
                <w:rFonts w:ascii="Arial" w:hAnsi="Arial" w:cs="Arial"/>
                <w:b w:val="0"/>
                <w:i w:val="0"/>
                <w:color w:val="4A5568"/>
                <w:sz w:val="15"/>
              </w:rPr>
              <w:t>$24.27</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5"/>
              </w:rPr>
              <w:t>+$19.48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Polygon</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30.19967000</w:t>
            </w:r>
          </w:p>
        </w:tc>
        <w:tc>
          <w:tcPr>
            <w:tcW w:type="dxa" w:w="141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$2.87</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+$2.87</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w:t>
            </w:r>
          </w:p>
        </w:tc>
        <w:tc>
          <w:tcPr>
            <w:tcW w:type="dxa" w:w="170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1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$1,004,080.36</w:t>
            </w:r>
          </w:p>
        </w:tc>
        <w:tc>
          <w:tcPr>
            <w:tcW w:type="dxa" w:w="158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1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$759,055.51</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-$245,024.85</w:t>
            </w:r>
          </w:p>
        </w:tc>
      </w:tr>
    </w:tbl>
    <w:p>
      <w:pPr>
        <w:spacing w:before="360" w:after="120"/>
      </w:pPr>
      <w:r>
        <w:rPr>
          <w:rFonts w:ascii="Arial" w:hAnsi="Arial"/>
          <w:rFonts w:ascii="Arial" w:hAnsi="Arial" w:cs="Arial"/>
          <w:b/>
          <w:i w:val="0"/>
          <w:color w:val="0A2342"/>
          <w:sz w:val="28"/>
        </w:rPr>
        <w:t>B. NFT Balance (Enterprise-rolled-up)</w:t>
      </w:r>
    </w:p>
    <w:p>
      <w:pPr>
        <w:spacing w:before="0" w:after="120"/>
      </w:pPr>
      <w:r>
        <w:rPr>
          <w:rFonts w:ascii="Arial" w:hAnsi="Arial"/>
          <w:rFonts w:ascii="Arial" w:hAnsi="Arial" w:cs="Arial"/>
          <w:b w:val="0"/>
          <w:i w:val="0"/>
          <w:color w:val="4A5568"/>
          <w:sz w:val="18"/>
        </w:rPr>
        <w:t>Aggregate NFT holdings across all vaults at end of period. Per-vault NFT detail is shown inside each vault block in Section D.</w:t>
      </w:r>
    </w:p>
    <w:tbl>
      <w:tblPr>
        <w:tblW w:type="auto" w:w="0"/>
        <w:jc w:val="left"/>
        <w:tblLayout w:type="fixed"/>
        <w:tblLook w:firstColumn="1" w:firstRow="1" w:lastColumn="0" w:lastRow="0" w:noHBand="0" w:noVBand="1" w:val="04A0"/>
      </w:tblPr>
      <w:tblGrid>
        <w:gridCol w:w="5669"/>
        <w:gridCol w:w="2268"/>
        <w:gridCol w:w="1928"/>
      </w:tblGrid>
      <w:tr>
        <w:trPr>
          <w:trHeight w:val="420" w:hRule="atLeast"/>
        </w:trPr>
        <w:tc>
          <w:tcPr>
            <w:tcW w:type="dxa" w:w="566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26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3</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(6 NFT collections)</w:t>
            </w:r>
          </w:p>
        </w:tc>
        <w:tc>
          <w:tcPr>
            <w:tcW w:type="dxa" w:w="226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10</w:t>
            </w:r>
          </w:p>
        </w:tc>
      </w:tr>
    </w:tbl>
    <w:p>
      <w:pPr>
        <w:spacing w:before="360" w:after="120"/>
      </w:pPr>
      <w:r>
        <w:rPr>
          <w:rFonts w:ascii="Arial" w:hAnsi="Arial"/>
          <w:rFonts w:ascii="Arial" w:hAnsi="Arial" w:cs="Arial"/>
          <w:b/>
          <w:i w:val="0"/>
          <w:color w:val="0A2342"/>
          <w:sz w:val="28"/>
        </w:rPr>
        <w:t>C. Staking (Enterprise-rolled-up)</w:t>
      </w:r>
    </w:p>
    <w:p>
      <w:pPr>
        <w:spacing w:before="0" w:after="120"/>
      </w:pPr>
      <w:r>
        <w:rPr>
          <w:rFonts w:ascii="Arial" w:hAnsi="Arial"/>
          <w:rFonts w:ascii="Arial" w:hAnsi="Arial" w:cs="Arial"/>
          <w:b w:val="0"/>
          <w:i w:val="0"/>
          <w:color w:val="4A5568"/>
          <w:sz w:val="18"/>
        </w:rPr>
        <w:t>Aggregate staking position across all vaults at end of period. Per-vault staking detail and individual staking transactions are shown inside each vault block in Section D.</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020"/>
        <w:gridCol w:w="1814"/>
        <w:gridCol w:w="1247"/>
        <w:gridCol w:w="1247"/>
        <w:gridCol w:w="1134"/>
        <w:gridCol w:w="1247"/>
        <w:gridCol w:w="1361"/>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134"/>
            <w:tcBorders>
              <w:bottom w:val="single" w:sz="4" w:color="D0D5DD"/>
            </w:tcBorders>
            <w:vAlign w:val="center"/>
          </w:tcPr>
          <w:p>
            <w:pPr>
              <w:spacing w:before="40" w:after="40"/>
              <w:jc w:val="right"/>
            </w:pPr>
            <w:r>
              <w:rPr>
                <w:rFonts w:ascii="Arial" w:hAnsi="Arial"/>
                <w:rFonts w:ascii="Arial" w:hAnsi="Arial" w:cs="Arial"/>
                <w:b/>
                <w:i w:val="0"/>
                <w:color w:val="4A5568"/>
                <w:sz w:val="16"/>
              </w:rPr>
              <w:t>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r>
    </w:tbl>
    <w:p>
      <w:pPr>
        <w:spacing w:before="160" w:after="60"/>
      </w:pPr>
      <w:r>
        <w:rPr>
          <w:rFonts w:ascii="Arial" w:hAnsi="Arial"/>
          <w:rFonts w:ascii="Arial" w:hAnsi="Arial" w:cs="Arial"/>
          <w:b/>
          <w:i w:val="0"/>
          <w:color w:val="0F2A4D"/>
          <w:sz w:val="20"/>
        </w:rPr>
        <w:t>Rewards &amp; lifecycle</w:t>
      </w:r>
    </w:p>
    <w:tbl>
      <w:tblPr>
        <w:tblW w:type="auto" w:w="0"/>
        <w:jc w:val="left"/>
        <w:tblLayout w:type="fixed"/>
        <w:tblLook w:firstColumn="1" w:firstRow="1" w:lastColumn="0" w:lastRow="0" w:noHBand="0" w:noVBand="1" w:val="04A0"/>
      </w:tblPr>
      <w:tblGrid>
        <w:gridCol w:w="907"/>
        <w:gridCol w:w="2494"/>
        <w:gridCol w:w="2041"/>
        <w:gridCol w:w="2381"/>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4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Claimed (period)</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Claimable (at period end)</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Commission (period)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49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br/>
              <w:t>$1,902.92</w:t>
            </w:r>
          </w:p>
        </w:tc>
        <w:tc>
          <w:tcPr>
            <w:tcW w:type="dxa" w:w="2381"/>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br/>
              <w:t>$47.46</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0.0080 ETH</w:t>
              <w:br/>
              <w:t>$18.08</w:t>
            </w:r>
          </w:p>
        </w:tc>
      </w:tr>
    </w:tbl>
    <w:p>
      <w:pPr>
        <w:spacing w:before="360" w:after="120"/>
      </w:pPr>
      <w:r>
        <w:rPr>
          <w:rFonts w:ascii="Arial" w:hAnsi="Arial"/>
          <w:rFonts w:ascii="Arial" w:hAnsi="Arial" w:cs="Arial"/>
          <w:b/>
          <w:i w:val="0"/>
          <w:color w:val="0A2342"/>
          <w:sz w:val="28"/>
        </w:rPr>
        <w:t>D. Per-Vault Breakdown</w:t>
      </w:r>
    </w:p>
    <w:p>
      <w:pPr>
        <w:spacing w:before="0" w:after="120"/>
      </w:pPr>
      <w:r>
        <w:rPr>
          <w:rFonts w:ascii="Arial" w:hAnsi="Arial"/>
          <w:rFonts w:ascii="Arial" w:hAnsi="Arial" w:cs="Arial"/>
          <w:b w:val="0"/>
          <w:i w:val="0"/>
          <w:color w:val="4A5568"/>
          <w:sz w:val="18"/>
        </w:rPr>
        <w:t>Supporting per-vault detail. Each vault block shows that vault's opening/closing balances, full transaction list, NFTs, and any staking position and staking transactions.</w:t>
      </w:r>
    </w:p>
    <w:p>
      <w:pPr>
        <w:spacing w:before="240" w:after="80"/>
      </w:pPr>
      <w:r>
        <w:rPr>
          <w:rFonts w:ascii="Arial" w:hAnsi="Arial"/>
          <w:rFonts w:ascii="Arial" w:hAnsi="Arial" w:cs="Arial"/>
          <w:b/>
          <w:i w:val="0"/>
          <w:color w:val="0A2342"/>
          <w:sz w:val="22"/>
        </w:rPr>
        <w:t>Client Settlement Wallet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701"/>
        <w:gridCol w:w="1814"/>
        <w:gridCol w:w="1814"/>
        <w:gridCol w:w="1587"/>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Qty</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272,517.49868000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320,033.61111000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47,516.11243000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$319,877.11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23,550.66962000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71,951.34527000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48,400.67565000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$71,941.13</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0.00388594</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0.89976342</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0.89587748</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$68,764.41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0.04075862</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0.04009069</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-0.00066793</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$90.64</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105.36293000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3,024.94519000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2,919.58226000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$3,024.51</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36.69408000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34.92115000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-1.77293000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$11.40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0.05754000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0.05755000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0.00001000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$4.78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34,753.20481000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-34,753.20481000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587"/>
        <w:gridCol w:w="1361"/>
        <w:gridCol w:w="567"/>
        <w:gridCol w:w="1020"/>
        <w:gridCol w:w="1361"/>
        <w:gridCol w:w="1361"/>
        <w:gridCol w:w="1587"/>
        <w:gridCol w:w="1020"/>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2026-04-01 14:22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695,352.0000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$694,656.65</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0x4f12...c8a3</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2026-04-09 18:30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0x9b27...d014</w:t>
              <w:br/>
              <w:t>OTC Trade #T-204602</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2026-04-13 12:08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-$444,437.67</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0.00007965 ETH ($0.18)</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0x771a...e0d3</w:t>
              <w:br/>
              <w:t>OTC Trade #T-204602</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7.6800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$586,310.40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bc1q...m9zd</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2026-04-22 11:08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-7.6830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-$586,539.45</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bc1q...nf02</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 16:42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0.91000000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$69,546.75</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bc1q...p9wq</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2026-04-23 17:01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-0.01115782</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-$852.85</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0.00000830 BTC ($0.06)</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bc1q...t44k</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2026-04-24 22:09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48,400.6523</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$48,395.81</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0xe88b...1c40</w:t>
              <w:br/>
              <w:t>OTC Trade #T-204687</w:t>
            </w:r>
          </w:p>
        </w:tc>
      </w:tr>
    </w:tbl>
    <w:p>
      <w:pPr>
        <w:spacing w:before="160" w:after="60"/>
      </w:pPr>
      <w:r>
        <w:rPr>
          <w:rFonts w:ascii="Arial" w:hAnsi="Arial"/>
          <w:rFonts w:ascii="Arial" w:hAnsi="Arial" w:cs="Arial"/>
          <w:b/>
          <w:i w:val="0"/>
          <w:color w:val="0F2A4D"/>
          <w:sz w:val="20"/>
        </w:rPr>
        <w:t>NFT balance</w:t>
      </w:r>
    </w:p>
    <w:tbl>
      <w:tblPr>
        <w:tblW w:type="auto" w:w="0"/>
        <w:jc w:val="left"/>
        <w:tblLayout w:type="fixed"/>
        <w:tblLook w:firstColumn="1" w:firstRow="1" w:lastColumn="0" w:lastRow="0" w:noHBand="0" w:noVBand="1" w:val="04A0"/>
      </w:tblPr>
      <w:tblGrid>
        <w:gridCol w:w="5669"/>
        <w:gridCol w:w="2268"/>
        <w:gridCol w:w="1928"/>
      </w:tblGrid>
      <w:tr>
        <w:trPr>
          <w:trHeight w:val="420" w:hRule="atLeast"/>
        </w:trPr>
        <w:tc>
          <w:tcPr>
            <w:tcW w:type="dxa" w:w="566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26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BNB Chain Official Exchange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BSC</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(3 NFT collections)</w:t>
            </w:r>
          </w:p>
        </w:tc>
        <w:tc>
          <w:tcPr>
            <w:tcW w:type="dxa" w:w="226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3</w:t>
            </w:r>
          </w:p>
        </w:tc>
      </w:tr>
    </w:tbl>
    <w:p>
      <w:pPr>
        <w:spacing w:before="240" w:after="80"/>
      </w:pPr>
      <w:r>
        <w:rPr>
          <w:rFonts w:ascii="Arial" w:hAnsi="Arial"/>
          <w:rFonts w:ascii="Arial" w:hAnsi="Arial" w:cs="Arial"/>
          <w:b/>
          <w:i w:val="0"/>
          <w:color w:val="0A2342"/>
          <w:sz w:val="22"/>
        </w:rPr>
        <w:t>Gas Station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701"/>
        <w:gridCol w:w="1814"/>
        <w:gridCol w:w="1814"/>
        <w:gridCol w:w="1587"/>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Qty</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0.00227378</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0.00227378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$5.14</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BABY</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Babylon</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0.00200700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0.00200700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587"/>
        <w:gridCol w:w="1361"/>
        <w:gridCol w:w="567"/>
        <w:gridCol w:w="1020"/>
        <w:gridCol w:w="1361"/>
        <w:gridCol w:w="1361"/>
        <w:gridCol w:w="1587"/>
        <w:gridCol w:w="1020"/>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2026-04-15 02:30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0.10000000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$226.10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0x2a55...09bd</w:t>
              <w:br/>
              <w:t>Top-up from Markets Settlement</w:t>
            </w:r>
          </w:p>
        </w:tc>
      </w:tr>
    </w:tbl>
    <w:p>
      <w:pPr>
        <w:spacing w:before="240" w:after="80"/>
      </w:pPr>
      <w:r>
        <w:rPr>
          <w:rFonts w:ascii="Arial" w:hAnsi="Arial"/>
          <w:rFonts w:ascii="Arial" w:hAnsi="Arial" w:cs="Arial"/>
          <w:b/>
          <w:i w:val="0"/>
          <w:color w:val="0A2342"/>
          <w:sz w:val="22"/>
        </w:rPr>
        <w:t>Markets Settlement Wallet  [Safe]</w:t>
      </w:r>
    </w:p>
    <w:p>
      <w:pPr>
        <w:spacing w:before="160" w:after="60"/>
      </w:pPr>
      <w:r>
        <w:rPr>
          <w:rFonts w:ascii="Arial" w:hAnsi="Arial"/>
          <w:rFonts w:ascii="Arial" w:hAnsi="Arial" w:cs="Arial"/>
          <w:b/>
          <w:i w:val="0"/>
          <w:color w:val="0F2A4D"/>
          <w:sz w:val="20"/>
        </w:rPr>
        <w:t>Opening / Closing balances</w:t>
      </w:r>
    </w:p>
    <w:tbl>
      <w:tblPr>
        <w:tblW w:type="auto" w:w="0"/>
        <w:jc w:val="left"/>
        <w:tblLayout w:type="fixed"/>
        <w:tblLook w:firstColumn="1" w:firstRow="1" w:lastColumn="0" w:lastRow="0" w:noHBand="0" w:noVBand="1" w:val="04A0"/>
      </w:tblPr>
      <w:tblGrid>
        <w:gridCol w:w="907"/>
        <w:gridCol w:w="1701"/>
        <w:gridCol w:w="1814"/>
        <w:gridCol w:w="1814"/>
        <w:gridCol w:w="1587"/>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Qty</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Qty</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Qty</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272,517.49868000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169,879.72865000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-102,637.77003000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$169,796.65</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105,308.87335000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102,389.29438000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-2,919.57897000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$102,374.77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149,682.95699000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21,136.69899000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-128,546.25800000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$21,126.36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USDT</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870.00000000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870.00000000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$869.57</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BTC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Bitcoin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0.00110855</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0.00106860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-0.00003995</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$81.66</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0.08953215</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0.08858655</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-0.00094560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$200.30</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TRX</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Tron</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282.82180000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171.44890000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-111.37290000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$56.00</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BNB</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BSC</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0.09988000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0.09988000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$61.46</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SOL</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1814"/>
            <w:tcBorders>
              <w:bottom w:val="single" w:sz="4" w:color="D0D5DD"/>
            </w:tcBorders>
            <w:vAlign w:val="center"/>
          </w:tcPr>
          <w:p>
            <w:pPr>
              <w:spacing w:before="40" w:after="40"/>
              <w:jc w:val="right"/>
            </w:pPr>
            <w:r>
              <w:rPr>
                <w:rFonts w:ascii="Arial" w:hAnsi="Arial"/>
                <w:rFonts w:ascii="Arial" w:hAnsi="Arial" w:cs="Arial"/>
                <w:b w:val="0"/>
                <w:i w:val="0"/>
                <w:color w:val="4A5568"/>
                <w:sz w:val="16"/>
              </w:rPr>
              <w:t>0.23420000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0.23420000</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$19.48</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USDC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Solana Mainnet</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0.00000000</w:t>
            </w:r>
          </w:p>
        </w:tc>
        <w:tc>
          <w:tcPr>
            <w:tcW w:type="dxa" w:w="181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557.77069000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557.77069000</w:t>
            </w:r>
          </w:p>
        </w:tc>
        <w:tc>
          <w:tcPr>
            <w:tcW w:type="dxa" w:w="204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$557.69</w:t>
            </w:r>
          </w:p>
        </w:tc>
      </w:tr>
    </w:tbl>
    <w:p>
      <w:pPr>
        <w:spacing w:before="160" w:after="60"/>
      </w:pPr>
      <w:r>
        <w:rPr>
          <w:rFonts w:ascii="Arial" w:hAnsi="Arial"/>
          <w:rFonts w:ascii="Arial" w:hAnsi="Arial" w:cs="Arial"/>
          <w:b/>
          <w:i w:val="0"/>
          <w:color w:val="0F2A4D"/>
          <w:sz w:val="20"/>
        </w:rPr>
        <w:t>Transactions</w:t>
      </w:r>
    </w:p>
    <w:tbl>
      <w:tblPr>
        <w:tblW w:type="auto" w:w="0"/>
        <w:jc w:val="left"/>
        <w:tblLayout w:type="fixed"/>
        <w:tblLook w:firstColumn="1" w:firstRow="1" w:lastColumn="0" w:lastRow="0" w:noHBand="0" w:noVBand="1" w:val="04A0"/>
      </w:tblPr>
      <w:tblGrid>
        <w:gridCol w:w="1587"/>
        <w:gridCol w:w="1361"/>
        <w:gridCol w:w="567"/>
        <w:gridCol w:w="1020"/>
        <w:gridCol w:w="1361"/>
        <w:gridCol w:w="1361"/>
        <w:gridCol w:w="1587"/>
        <w:gridCol w:w="1020"/>
      </w:tblGrid>
      <w:tr>
        <w:trPr>
          <w:trHeight w:val="420" w:hRule="atLeast"/>
        </w:trPr>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Fees</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2026-04-01 09:15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241,338.3100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$241,096.97</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TRX...8e1a</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2026-04-02 06:48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-10,000.0000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-$9,990.00</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6.42850000 TRX ($2.10)</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TRX...3334</w:t>
              <w:br/>
              <w:t>OTC Trade #T-204598</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2026-04-13 14:12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600,000.0000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$599,400.00</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0x9b27...e2c1</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2026-04-13 15:30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-1,580,219.0000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-$1,578,638.78</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13.02850000 TRX ($4.25)</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TRX...4hxz</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2026-04-15 11:45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-5,432.6556</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-$5,427.22</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13.02850000 TRX ($4.25)</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TRX...4j9y</w:t>
              <w:br/>
              <w:t>OTC Trade #T-204603</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 17:22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753,430.0000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$752,676.57</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0xdkkn...1900</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2026-04-20 18:01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-19,850.0000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-$19,845.04</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0.00015301 ETH ($0.35)</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0x4jve...20e3</w:t>
              <w:br/>
              <w:t>OTC Trade #T-204614</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09:25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0.06418724</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$4,902.51</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bc1q...p7zg</w:t>
            </w:r>
          </w:p>
        </w:tc>
      </w:tr>
      <w:tr>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-0.06418724</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-$4,902.51</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5"/>
              </w:rPr>
              <w:t>0.00003995 BTC ($3.05)</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5"/>
              </w:rPr>
              <w:t>bc1q...kfw1</w:t>
            </w:r>
          </w:p>
        </w:tc>
      </w:tr>
      <w:tr>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 21:14 UTC</w:t>
            </w:r>
          </w:p>
        </w:tc>
        <w:tc>
          <w:tcPr>
            <w:tcW w:type="dxa" w:w="136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Market Settlement-Out</w:t>
            </w:r>
          </w:p>
        </w:tc>
        <w:tc>
          <w:tcPr>
            <w:tcW w:type="dxa" w:w="56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-919,475.2902</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-$918,555.81</w:t>
            </w:r>
          </w:p>
        </w:tc>
        <w:tc>
          <w:tcPr>
            <w:tcW w:type="dxa" w:w="158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13.02850000 TRX ($4.25)</w:t>
            </w:r>
          </w:p>
        </w:tc>
        <w:tc>
          <w:tcPr>
            <w:tcW w:type="dxa" w:w="1020"/>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TRX...4mg3</w:t>
              <w:br/>
              <w:t>OTC Trade #T-204661</w:t>
            </w:r>
          </w:p>
        </w:tc>
      </w:tr>
    </w:tbl>
    <w:p>
      <w:pPr>
        <w:spacing w:before="160" w:after="60"/>
      </w:pPr>
      <w:r>
        <w:rPr>
          <w:rFonts w:ascii="Arial" w:hAnsi="Arial"/>
          <w:rFonts w:ascii="Arial" w:hAnsi="Arial" w:cs="Arial"/>
          <w:b/>
          <w:i w:val="0"/>
          <w:color w:val="0F2A4D"/>
          <w:sz w:val="20"/>
        </w:rPr>
        <w:t>NFT balance</w:t>
      </w:r>
    </w:p>
    <w:tbl>
      <w:tblPr>
        <w:tblW w:type="auto" w:w="0"/>
        <w:jc w:val="left"/>
        <w:tblLayout w:type="fixed"/>
        <w:tblLook w:firstColumn="1" w:firstRow="1" w:lastColumn="0" w:lastRow="0" w:noHBand="0" w:noVBand="1" w:val="04A0"/>
      </w:tblPr>
      <w:tblGrid>
        <w:gridCol w:w="5669"/>
        <w:gridCol w:w="2268"/>
        <w:gridCol w:w="1928"/>
      </w:tblGrid>
      <w:tr>
        <w:trPr>
          <w:trHeight w:val="420" w:hRule="atLeast"/>
        </w:trPr>
        <w:tc>
          <w:tcPr>
            <w:tcW w:type="dxa" w:w="5669"/>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 — NFT</w:t>
            </w:r>
          </w:p>
        </w:tc>
        <w:tc>
          <w:tcPr>
            <w:tcW w:type="dxa" w:w="2268"/>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928"/>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Balance / Qty.</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Colorful Desktop Background #026</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DBW PRE SALE LIVE</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Genesis Supporter Badge</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JUP Voucher</w:t>
            </w:r>
          </w:p>
        </w:tc>
        <w:tc>
          <w:tcPr>
            <w:tcW w:type="dxa" w:w="2268"/>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7"/>
              </w:rPr>
              <w:t>Solana Mainnet</w:t>
            </w:r>
          </w:p>
        </w:tc>
        <w:tc>
          <w:tcPr>
            <w:tcW w:type="dxa" w:w="1928"/>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7"/>
              </w:rPr>
              <w:t>2</w:t>
            </w:r>
          </w:p>
        </w:tc>
      </w:tr>
      <w:tr>
        <w:tc>
          <w:tcPr>
            <w:tcW w:type="dxa" w:w="5669"/>
            <w:tcBorders>
              <w:bottom w:val="single" w:sz="4" w:color="D0D5DD"/>
            </w:tcBorders>
            <w:vAlign w:val="center"/>
          </w:tcPr>
          <w:p>
            <w:pPr>
              <w:spacing w:before="40" w:after="40"/>
            </w:pPr>
            <w:r>
              <w:rPr>
                <w:rFonts w:ascii="Arial" w:hAnsi="Arial"/>
                <w:rFonts w:ascii="Arial" w:hAnsi="Arial" w:cs="Arial"/>
                <w:b w:val="0"/>
                <w:i w:val="0"/>
                <w:color w:val="4A5568"/>
                <w:sz w:val="17"/>
              </w:rPr>
              <w:t>Lido: stETH Withdrawal NFT</w:t>
            </w:r>
          </w:p>
        </w:tc>
        <w:tc>
          <w:tcPr>
            <w:tcW w:type="dxa" w:w="2268"/>
            <w:tcBorders>
              <w:bottom w:val="single" w:sz="4" w:color="D0D5DD"/>
            </w:tcBorders>
            <w:vAlign w:val="center"/>
          </w:tcPr>
          <w:p>
            <w:pPr>
              <w:spacing w:before="40" w:after="40"/>
            </w:pPr>
            <w:r>
              <w:rPr>
                <w:rFonts w:ascii="Arial" w:hAnsi="Arial"/>
                <w:rFonts w:ascii="Arial" w:hAnsi="Arial" w:cs="Arial"/>
                <w:b w:val="0"/>
                <w:i w:val="0"/>
                <w:color w:val="4A5568"/>
                <w:sz w:val="17"/>
              </w:rPr>
              <w:t>Ethereum</w:t>
            </w:r>
          </w:p>
        </w:tc>
        <w:tc>
          <w:tcPr>
            <w:tcW w:type="dxa" w:w="1928"/>
            <w:tcBorders>
              <w:bottom w:val="single" w:sz="4" w:color="D0D5DD"/>
            </w:tcBorders>
            <w:vAlign w:val="center"/>
          </w:tcPr>
          <w:p>
            <w:pPr>
              <w:spacing w:before="40" w:after="40"/>
              <w:jc w:val="right"/>
            </w:pPr>
            <w:r>
              <w:rPr>
                <w:rFonts w:ascii="Arial" w:hAnsi="Arial"/>
                <w:rFonts w:ascii="Arial" w:hAnsi="Arial" w:cs="Arial"/>
                <w:b w:val="0"/>
                <w:i w:val="0"/>
                <w:color w:val="4A5568"/>
                <w:sz w:val="17"/>
              </w:rPr>
              <w:t>1</w:t>
            </w:r>
          </w:p>
        </w:tc>
      </w:tr>
      <w:tr>
        <w:tc>
          <w:tcPr>
            <w:tcW w:type="dxa" w:w="5669"/>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t>Total (5 NFT collections)</w:t>
            </w:r>
          </w:p>
        </w:tc>
        <w:tc>
          <w:tcPr>
            <w:tcW w:type="dxa" w:w="2268"/>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7"/>
              </w:rPr>
            </w:r>
          </w:p>
        </w:tc>
        <w:tc>
          <w:tcPr>
            <w:tcW w:type="dxa" w:w="1928"/>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7"/>
              </w:rPr>
              <w:t>7</w:t>
            </w:r>
          </w:p>
        </w:tc>
      </w:tr>
    </w:tbl>
    <w:p>
      <w:pPr>
        <w:spacing w:before="160" w:after="60"/>
      </w:pPr>
      <w:r>
        <w:rPr>
          <w:rFonts w:ascii="Arial" w:hAnsi="Arial"/>
          <w:rFonts w:ascii="Arial" w:hAnsi="Arial" w:cs="Arial"/>
          <w:b/>
          <w:i w:val="0"/>
          <w:color w:val="0F2A4D"/>
          <w:sz w:val="20"/>
        </w:rPr>
        <w:t>Staking position</w:t>
      </w:r>
    </w:p>
    <w:p>
      <w:pPr>
        <w:spacing w:before="160" w:after="60"/>
      </w:pPr>
      <w:r>
        <w:rPr>
          <w:rFonts w:ascii="Arial" w:hAnsi="Arial"/>
          <w:rFonts w:ascii="Arial" w:hAnsi="Arial" w:cs="Arial"/>
          <w:b/>
          <w:i w:val="0"/>
          <w:color w:val="0F2A4D"/>
          <w:sz w:val="20"/>
        </w:rPr>
        <w:t>Position</w:t>
      </w:r>
    </w:p>
    <w:tbl>
      <w:tblPr>
        <w:tblW w:type="auto" w:w="0"/>
        <w:jc w:val="left"/>
        <w:tblLayout w:type="fixed"/>
        <w:tblLook w:firstColumn="1" w:firstRow="1" w:lastColumn="0" w:lastRow="0" w:noHBand="0" w:noVBand="1" w:val="04A0"/>
      </w:tblPr>
      <w:tblGrid>
        <w:gridCol w:w="794"/>
        <w:gridCol w:w="1020"/>
        <w:gridCol w:w="1814"/>
        <w:gridCol w:w="1247"/>
        <w:gridCol w:w="1247"/>
        <w:gridCol w:w="1134"/>
        <w:gridCol w:w="1247"/>
        <w:gridCol w:w="1361"/>
      </w:tblGrid>
      <w:tr>
        <w:trPr>
          <w:trHeight w:val="420" w:hRule="atLeast"/>
        </w:trPr>
        <w:tc>
          <w:tcPr>
            <w:tcW w:type="dxa" w:w="7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81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Opening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Staked</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Δ Staked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Unbonding</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Closing Fiat (USD)</w:t>
            </w:r>
          </w:p>
        </w:tc>
      </w:tr>
      <w:tr>
        <w:tc>
          <w:tcPr>
            <w:tcW w:type="dxa" w:w="794"/>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81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134"/>
            <w:tcBorders>
              <w:bottom w:val="single" w:sz="4" w:color="D0D5DD"/>
            </w:tcBorders>
            <w:vAlign w:val="center"/>
          </w:tcPr>
          <w:p>
            <w:pPr>
              <w:spacing w:before="40" w:after="40"/>
              <w:jc w:val="right"/>
            </w:pPr>
            <w:r>
              <w:rPr>
                <w:rFonts w:ascii="Arial" w:hAnsi="Arial"/>
                <w:rFonts w:ascii="Arial" w:hAnsi="Arial" w:cs="Arial"/>
                <w:b/>
                <w:i w:val="0"/>
                <w:color w:val="4A5568"/>
                <w:sz w:val="16"/>
              </w:rPr>
              <w:t>0.0000 ETH</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r>
    </w:tbl>
    <w:p>
      <w:pPr>
        <w:spacing w:before="160" w:after="60"/>
      </w:pPr>
      <w:r>
        <w:rPr>
          <w:rFonts w:ascii="Arial" w:hAnsi="Arial"/>
          <w:rFonts w:ascii="Arial" w:hAnsi="Arial" w:cs="Arial"/>
          <w:b/>
          <w:i w:val="0"/>
          <w:color w:val="0F2A4D"/>
          <w:sz w:val="20"/>
        </w:rPr>
        <w:t>Rewards &amp; lifecycle</w:t>
      </w:r>
    </w:p>
    <w:tbl>
      <w:tblPr>
        <w:tblW w:type="auto" w:w="0"/>
        <w:jc w:val="left"/>
        <w:tblLayout w:type="fixed"/>
        <w:tblLook w:firstColumn="1" w:firstRow="1" w:lastColumn="0" w:lastRow="0" w:noHBand="0" w:noVBand="1" w:val="04A0"/>
      </w:tblPr>
      <w:tblGrid>
        <w:gridCol w:w="907"/>
        <w:gridCol w:w="2494"/>
        <w:gridCol w:w="2041"/>
        <w:gridCol w:w="2381"/>
        <w:gridCol w:w="2041"/>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249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Validator / Pool</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Claimed (period)</w:t>
            </w:r>
          </w:p>
        </w:tc>
        <w:tc>
          <w:tcPr>
            <w:tcW w:type="dxa" w:w="238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Rewards Claimable (at period end)</w:t>
            </w:r>
          </w:p>
        </w:tc>
        <w:tc>
          <w:tcPr>
            <w:tcW w:type="dxa" w:w="204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Commission (period)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2494"/>
            <w:tcBorders>
              <w:bottom w:val="single" w:sz="4" w:color="D0D5DD"/>
            </w:tcBorders>
            <w:vAlign w:val="center"/>
          </w:tcPr>
          <w:p>
            <w:pPr>
              <w:spacing w:before="40" w:after="40"/>
            </w:pPr>
            <w:r>
              <w:rPr>
                <w:rFonts w:ascii="Arial" w:hAnsi="Arial"/>
                <w:rFonts w:ascii="Arial" w:hAnsi="Arial" w:cs="Arial"/>
                <w:b w:val="0"/>
                <w:i w:val="0"/>
                <w:color w:val="4A5568"/>
                <w:sz w:val="16"/>
              </w:rPr>
              <w:t>Kiln validator pool</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0.8420 ETH</w:t>
              <w:br/>
              <w:t>$1,902.92</w:t>
            </w:r>
          </w:p>
        </w:tc>
        <w:tc>
          <w:tcPr>
            <w:tcW w:type="dxa" w:w="2381"/>
            <w:tcBorders>
              <w:bottom w:val="single" w:sz="4" w:color="D0D5DD"/>
            </w:tcBorders>
            <w:vAlign w:val="center"/>
          </w:tcPr>
          <w:p>
            <w:pPr>
              <w:spacing w:before="40" w:after="40"/>
              <w:jc w:val="right"/>
            </w:pPr>
            <w:r>
              <w:rPr>
                <w:rFonts w:ascii="Arial" w:hAnsi="Arial"/>
                <w:rFonts w:ascii="Arial" w:hAnsi="Arial" w:cs="Arial"/>
                <w:b w:val="0"/>
                <w:i w:val="0"/>
                <w:color w:val="4A5568"/>
                <w:sz w:val="16"/>
              </w:rPr>
              <w:t>0.0210 ETH</w:t>
              <w:br/>
              <w:t>$47.46</w:t>
            </w:r>
          </w:p>
        </w:tc>
        <w:tc>
          <w:tcPr>
            <w:tcW w:type="dxa" w:w="2041"/>
            <w:tcBorders>
              <w:bottom w:val="single" w:sz="4" w:color="D0D5DD"/>
            </w:tcBorders>
            <w:vAlign w:val="center"/>
          </w:tcPr>
          <w:p>
            <w:pPr>
              <w:spacing w:before="40" w:after="40"/>
              <w:jc w:val="right"/>
            </w:pPr>
            <w:r>
              <w:rPr>
                <w:rFonts w:ascii="Arial" w:hAnsi="Arial"/>
                <w:rFonts w:ascii="Arial" w:hAnsi="Arial" w:cs="Arial"/>
                <w:b w:val="0"/>
                <w:i w:val="0"/>
                <w:color w:val="4A5568"/>
                <w:sz w:val="16"/>
              </w:rPr>
              <w:t>0.0080 ETH</w:t>
              <w:br/>
              <w:t>$18.08</w:t>
            </w:r>
          </w:p>
        </w:tc>
      </w:tr>
    </w:tbl>
    <w:p>
      <w:pPr>
        <w:spacing w:before="160" w:after="60"/>
      </w:pPr>
      <w:r>
        <w:rPr>
          <w:rFonts w:ascii="Arial" w:hAnsi="Arial"/>
          <w:rFonts w:ascii="Arial" w:hAnsi="Arial" w:cs="Arial"/>
          <w:b/>
          <w:i w:val="0"/>
          <w:color w:val="0F2A4D"/>
          <w:sz w:val="20"/>
        </w:rPr>
        <w:t>Staking transactions</w:t>
      </w:r>
    </w:p>
    <w:tbl>
      <w:tblPr>
        <w:tblW w:type="auto" w:w="0"/>
        <w:jc w:val="left"/>
        <w:tblLayout w:type="fixed"/>
        <w:tblLook w:firstColumn="1" w:firstRow="1" w:lastColumn="0" w:lastRow="0" w:noHBand="0" w:noVBand="1" w:val="04A0"/>
      </w:tblPr>
      <w:tblGrid>
        <w:gridCol w:w="1474"/>
        <w:gridCol w:w="1701"/>
        <w:gridCol w:w="680"/>
        <w:gridCol w:w="1020"/>
        <w:gridCol w:w="1247"/>
        <w:gridCol w:w="1247"/>
        <w:gridCol w:w="1701"/>
        <w:gridCol w:w="1361"/>
      </w:tblGrid>
      <w:tr>
        <w:trPr>
          <w:trHeight w:val="420" w:hRule="atLeast"/>
        </w:trPr>
        <w:tc>
          <w:tcPr>
            <w:tcW w:type="dxa" w:w="147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Validator / Pool</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r>
      <w:tr>
        <w:tc>
          <w:tcPr>
            <w:tcW w:type="dxa" w:w="1474"/>
            <w:tcBorders>
              <w:bottom w:val="single" w:sz="4" w:color="D0D5DD"/>
            </w:tcBorders>
            <w:vAlign w:val="center"/>
          </w:tcPr>
          <w:p>
            <w:pPr>
              <w:spacing w:before="40" w:after="40"/>
            </w:pPr>
            <w:r>
              <w:rPr>
                <w:rFonts w:ascii="Arial" w:hAnsi="Arial"/>
                <w:rFonts w:ascii="Arial" w:hAnsi="Arial" w:cs="Arial"/>
                <w:b w:val="0"/>
                <w:i w:val="0"/>
                <w:color w:val="4A5568"/>
                <w:sz w:val="16"/>
              </w:rPr>
              <w:t>2026-04-07 00:00 UTC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0x7e44...d910</w:t>
            </w:r>
          </w:p>
        </w:tc>
      </w:tr>
      <w:tr>
        <w:tc>
          <w:tcPr>
            <w:tcW w:type="dxa" w:w="147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2026-04-07 00:00 UTC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Validator Commission</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6"/>
              </w:rPr>
              <w:t>-$4.52</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0x7e44...d910</w:t>
            </w:r>
          </w:p>
        </w:tc>
      </w:tr>
      <w:tr>
        <w:tc>
          <w:tcPr>
            <w:tcW w:type="dxa" w:w="1474"/>
            <w:tcBorders>
              <w:bottom w:val="single" w:sz="4" w:color="D0D5DD"/>
            </w:tcBorders>
            <w:vAlign w:val="center"/>
          </w:tcPr>
          <w:p>
            <w:pPr>
              <w:spacing w:before="40" w:after="40"/>
            </w:pPr>
            <w:r>
              <w:rPr>
                <w:rFonts w:ascii="Arial" w:hAnsi="Arial"/>
                <w:rFonts w:ascii="Arial" w:hAnsi="Arial" w:cs="Arial"/>
                <w:b w:val="0"/>
                <w:i w:val="0"/>
                <w:color w:val="4A5568"/>
                <w:sz w:val="16"/>
              </w:rPr>
              <w:t>2026-04-14 00:00 UTC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0x83a1...b227</w:t>
            </w:r>
          </w:p>
        </w:tc>
      </w:tr>
      <w:tr>
        <w:tc>
          <w:tcPr>
            <w:tcW w:type="dxa" w:w="147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2026-04-14 00:00 UTC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Validator Commission</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6"/>
              </w:rPr>
              <w:t>-$4.52</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0x83a1...b227</w:t>
            </w:r>
          </w:p>
        </w:tc>
      </w:tr>
      <w:tr>
        <w:tc>
          <w:tcPr>
            <w:tcW w:type="dxa" w:w="1474"/>
            <w:tcBorders>
              <w:bottom w:val="single" w:sz="4" w:color="D0D5DD"/>
            </w:tcBorders>
            <w:vAlign w:val="center"/>
          </w:tcPr>
          <w:p>
            <w:pPr>
              <w:spacing w:before="40" w:after="40"/>
            </w:pPr>
            <w:r>
              <w:rPr>
                <w:rFonts w:ascii="Arial" w:hAnsi="Arial"/>
                <w:rFonts w:ascii="Arial" w:hAnsi="Arial" w:cs="Arial"/>
                <w:b w:val="0"/>
                <w:i w:val="0"/>
                <w:color w:val="4A5568"/>
                <w:sz w:val="16"/>
              </w:rPr>
              <w:t>2026-04-21 00:00 UTC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0.2110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$476.86</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0xc502...4f0e</w:t>
            </w:r>
          </w:p>
        </w:tc>
      </w:tr>
      <w:tr>
        <w:tc>
          <w:tcPr>
            <w:tcW w:type="dxa" w:w="147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2026-04-21 00:00 UTC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Validator Commission</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6"/>
              </w:rPr>
              <w:t>-$4.52</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0xc502...4f0e</w:t>
            </w:r>
          </w:p>
        </w:tc>
      </w:tr>
      <w:tr>
        <w:tc>
          <w:tcPr>
            <w:tcW w:type="dxa" w:w="1474"/>
            <w:tcBorders>
              <w:bottom w:val="single" w:sz="4" w:color="D0D5DD"/>
            </w:tcBorders>
            <w:vAlign w:val="center"/>
          </w:tcPr>
          <w:p>
            <w:pPr>
              <w:spacing w:before="40" w:after="40"/>
            </w:pPr>
            <w:r>
              <w:rPr>
                <w:rFonts w:ascii="Arial" w:hAnsi="Arial"/>
                <w:rFonts w:ascii="Arial" w:hAnsi="Arial" w:cs="Arial"/>
                <w:b w:val="0"/>
                <w:i w:val="0"/>
                <w:color w:val="4A5568"/>
                <w:sz w:val="16"/>
              </w:rPr>
              <w:t>2026-04-28 00:00 UTC</w:t>
            </w:r>
          </w:p>
        </w:tc>
        <w:tc>
          <w:tcPr>
            <w:tcW w:type="dxa" w:w="1701"/>
            <w:tcBorders>
              <w:bottom w:val="single" w:sz="4" w:color="D0D5DD"/>
            </w:tcBorders>
            <w:vAlign w:val="center"/>
          </w:tcPr>
          <w:p>
            <w:pPr>
              <w:spacing w:before="40" w:after="40"/>
            </w:pPr>
            <w:r>
              <w:rPr>
                <w:rFonts w:ascii="Arial" w:hAnsi="Arial"/>
                <w:rFonts w:ascii="Arial" w:hAnsi="Arial" w:cs="Arial"/>
                <w:b w:val="0"/>
                <w:i w:val="0"/>
                <w:color w:val="4A5568"/>
                <w:sz w:val="16"/>
              </w:rPr>
              <w:t>Claiming Rewards</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0.2090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15803D"/>
                <w:sz w:val="16"/>
              </w:rPr>
              <w:t>$472.34</w:t>
            </w:r>
          </w:p>
        </w:tc>
        <w:tc>
          <w:tcPr>
            <w:tcW w:type="dxa" w:w="1701"/>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0xd17a...8c0b</w:t>
            </w:r>
          </w:p>
        </w:tc>
      </w:tr>
      <w:tr>
        <w:tc>
          <w:tcPr>
            <w:tcW w:type="dxa" w:w="1474"/>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2026-04-28 00:00 UTC</w:t>
            </w:r>
          </w:p>
        </w:tc>
        <w:tc>
          <w:tcPr>
            <w:tcW w:type="dxa" w:w="1701"/>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Validator Commission</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6"/>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-0.0020</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6"/>
              </w:rPr>
              <w:t>-$4.52</w:t>
            </w:r>
          </w:p>
        </w:tc>
        <w:tc>
          <w:tcPr>
            <w:tcW w:type="dxa" w:w="170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Kiln validator pool</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6"/>
              </w:rPr>
              <w:t>0xd17a...8c0b</w:t>
            </w:r>
          </w:p>
        </w:tc>
      </w:tr>
      <w:tr>
        <w:tc>
          <w:tcPr>
            <w:tcW w:type="dxa" w:w="147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t>Net (8 txns)</w:t>
            </w:r>
          </w:p>
        </w:tc>
        <w:tc>
          <w:tcPr>
            <w:tcW w:type="dxa" w:w="1701"/>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02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6"/>
              </w:rPr>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0.8340</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t>$1,884.84</w:t>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6"/>
              </w:rPr>
            </w:r>
          </w:p>
        </w:tc>
      </w:tr>
    </w:tbl>
    <w:p>
      <w:pPr>
        <w:spacing w:before="360" w:after="120"/>
      </w:pPr>
      <w:r>
        <w:rPr>
          <w:rFonts w:ascii="Arial" w:hAnsi="Arial"/>
          <w:rFonts w:ascii="Arial" w:hAnsi="Arial" w:cs="Arial"/>
          <w:b/>
          <w:i w:val="0"/>
          <w:color w:val="0A2342"/>
          <w:sz w:val="28"/>
        </w:rPr>
        <w:t>E. Pending Transactions</w:t>
      </w:r>
    </w:p>
    <w:p>
      <w:pPr>
        <w:spacing w:before="0" w:after="120"/>
      </w:pPr>
      <w:r>
        <w:rPr>
          <w:rFonts w:ascii="Arial" w:hAnsi="Arial"/>
          <w:rFonts w:ascii="Arial" w:hAnsi="Arial" w:cs="Arial"/>
          <w:b w:val="0"/>
          <w:i w:val="0"/>
          <w:color w:val="4A5568"/>
          <w:sz w:val="18"/>
        </w:rPr>
        <w:t>Custody transactions awaiting client action (currently: Travel Rule declaration) or internal approval.</w:t>
      </w:r>
    </w:p>
    <w:tbl>
      <w:tblPr>
        <w:tblW w:type="auto" w:w="0"/>
        <w:jc w:val="left"/>
        <w:tblLayout w:type="fixed"/>
        <w:tblLook w:firstColumn="1" w:firstRow="1" w:lastColumn="0" w:lastRow="0" w:noHBand="0" w:noVBand="1" w:val="04A0"/>
      </w:tblPr>
      <w:tblGrid>
        <w:gridCol w:w="1247"/>
        <w:gridCol w:w="1474"/>
        <w:gridCol w:w="1134"/>
        <w:gridCol w:w="567"/>
        <w:gridCol w:w="907"/>
        <w:gridCol w:w="1134"/>
        <w:gridCol w:w="1247"/>
        <w:gridCol w:w="1020"/>
        <w:gridCol w:w="1701"/>
      </w:tblGrid>
      <w:tr>
        <w:trPr>
          <w:trHeight w:val="420" w:hRule="atLeast"/>
        </w:trPr>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Vault</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Type</w:t>
            </w:r>
          </w:p>
        </w:tc>
        <w:tc>
          <w:tcPr>
            <w:tcW w:type="dxa" w:w="56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c>
          <w:tcPr>
            <w:tcW w:type="dxa" w:w="170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Pending Reason</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2026-04-13 14:12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Markets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600,000.0000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$599,400.00</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0x9b27...e2c1</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2026-04-20 17:22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Markets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753,430.0000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$752,676.57</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0xdkkn...1900</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2026-04-22 09:55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Client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Transfer-In</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7.6800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$586,310.40</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bc1q...m9zd</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Travel Rule declaration pending</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2026-04-29 09:55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Markets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-0.50000000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-$38,212.50</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W20260429-QR03</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 (1 of 2 signed)</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18:42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Client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-$249,750.00</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W20260430-MK87</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 (1 of 2 signed)</w:t>
            </w:r>
          </w:p>
        </w:tc>
      </w:tr>
      <w:tr>
        <w:tc>
          <w:tcPr>
            <w:tcW w:type="dxa" w:w="124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22:15 UTC</w:t>
            </w:r>
          </w:p>
        </w:tc>
        <w:tc>
          <w:tcPr>
            <w:tcW w:type="dxa" w:w="147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Markets Settlement Wallet</w:t>
            </w:r>
          </w:p>
        </w:tc>
        <w:tc>
          <w:tcPr>
            <w:tcW w:type="dxa" w:w="1134"/>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Transfer-Out</w:t>
            </w:r>
          </w:p>
        </w:tc>
        <w:tc>
          <w:tcPr>
            <w:tcW w:type="dxa" w:w="56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90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-180,000.0000</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-$179,820.00</w:t>
            </w:r>
          </w:p>
        </w:tc>
        <w:tc>
          <w:tcPr>
            <w:tcW w:type="dxa" w:w="1020"/>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W20260430-CP12</w:t>
            </w:r>
          </w:p>
        </w:tc>
        <w:tc>
          <w:tcPr>
            <w:tcW w:type="dxa" w:w="170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B45309"/>
                <w:sz w:val="15"/>
              </w:rPr>
              <w:t>Quorum approval pending (0 of 2 signed)</w:t>
            </w:r>
          </w:p>
        </w:tc>
      </w:tr>
      <w:tr>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(6 pending)</w:t>
            </w:r>
          </w:p>
        </w:tc>
        <w:tc>
          <w:tcPr>
            <w:tcW w:type="dxa" w:w="147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56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$2,406,169.47</w:t>
            </w:r>
          </w:p>
        </w:tc>
        <w:tc>
          <w:tcPr>
            <w:tcW w:type="dxa" w:w="1020"/>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70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9866"/>
      </w:tblGrid>
      <w:tr>
        <w:tc>
          <w:tcPr>
            <w:tcW w:type="dxa" w:w="986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Note — Pending Transactions and Closing Balance Treatment:</w:t>
            </w:r>
          </w:p>
          <w:p>
            <w:pPr>
              <w:spacing w:before="80" w:after="40"/>
            </w:pPr>
            <w:r>
              <w:rPr>
                <w:rFonts w:ascii="Arial" w:hAnsi="Arial"/>
                <w:rFonts w:ascii="Arial" w:hAnsi="Arial" w:cs="Arial"/>
                <w:b/>
                <w:i w:val="0"/>
                <w:color w:val="0A2342"/>
                <w:sz w:val="18"/>
              </w:rPr>
              <w:t xml:space="preserve">•  Pending inbound (Transfer-In awaiting Travel Rule declaration): </w:t>
            </w:r>
            <w:r>
              <w:rPr>
                <w:rFonts w:ascii="Arial" w:hAnsi="Arial"/>
                <w:rFonts w:ascii="Arial" w:hAnsi="Arial" w:cs="Arial"/>
                <w:b w:val="0"/>
                <w:i w:val="0"/>
                <w:color w:val="0A2342"/>
                <w:sz w:val="18"/>
              </w:rPr>
              <w:t>Funds are received on-chain but are NOT yet included in the closing balances shown elsewhere on this statement. They will be added to the closing balance once the Travel Rule declaration is completed via the client portal.</w:t>
            </w:r>
          </w:p>
          <w:p>
            <w:pPr>
              <w:spacing w:before="80" w:after="40"/>
            </w:pPr>
            <w:r>
              <w:rPr>
                <w:rFonts w:ascii="Arial" w:hAnsi="Arial"/>
                <w:rFonts w:ascii="Arial" w:hAnsi="Arial" w:cs="Arial"/>
                <w:b/>
                <w:i w:val="0"/>
                <w:color w:val="0A2342"/>
                <w:sz w:val="18"/>
              </w:rPr>
              <w:t xml:space="preserve">•  Pending outbound (Transfer-Out awaiting maker-checker, compliance, or quorum approval): </w:t>
            </w:r>
            <w:r>
              <w:rPr>
                <w:rFonts w:ascii="Arial" w:hAnsi="Arial"/>
                <w:rFonts w:ascii="Arial" w:hAnsi="Arial" w:cs="Arial"/>
                <w:b w:val="0"/>
                <w:i w:val="0"/>
                <w:color w:val="0A2342"/>
                <w:sz w:val="18"/>
              </w:rPr>
              <w:t>The withdrawal has been initiated but not yet broadcast on-chain. Funds remain under custody and ARE still included in the closing balance until the withdrawal is executed.</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3 — OTC Trading (Detailed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Full list of OTC trades and their settlement asset movements. Settlement entries (Section B) are the same Market Settlement-In / Market Settlement-Out events recorded in the Custody section, presented here with explicit Trade ID linkage for reconciliation. Unsettled trades produce no entries in Section B until they settle.</w:t>
      </w:r>
    </w:p>
    <w:p>
      <w:pPr>
        <w:spacing w:before="360" w:after="120"/>
      </w:pPr>
      <w:r>
        <w:rPr>
          <w:rFonts w:ascii="Arial" w:hAnsi="Arial"/>
          <w:rFonts w:ascii="Arial" w:hAnsi="Arial" w:cs="Arial"/>
          <w:b/>
          <w:i w:val="0"/>
          <w:color w:val="0A2342"/>
          <w:sz w:val="28"/>
        </w:rPr>
        <w:t>A. Trade List</w:t>
      </w:r>
    </w:p>
    <w:tbl>
      <w:tblPr>
        <w:tblW w:type="auto" w:w="0"/>
        <w:jc w:val="left"/>
        <w:tblLayout w:type="fixed"/>
        <w:tblLook w:firstColumn="1" w:firstRow="1" w:lastColumn="0" w:lastRow="0" w:noHBand="0" w:noVBand="1" w:val="04A0"/>
      </w:tblPr>
      <w:tblGrid>
        <w:gridCol w:w="1020"/>
        <w:gridCol w:w="1587"/>
        <w:gridCol w:w="1020"/>
        <w:gridCol w:w="680"/>
        <w:gridCol w:w="1134"/>
        <w:gridCol w:w="1361"/>
        <w:gridCol w:w="1474"/>
        <w:gridCol w:w="907"/>
        <w:gridCol w:w="1247"/>
      </w:tblGrid>
      <w:tr>
        <w:trPr>
          <w:trHeight w:val="420" w:hRule="atLeast"/>
        </w:trPr>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Trade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Date / Time (UTC)</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Pair</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Side</w:t>
            </w:r>
          </w:p>
        </w:tc>
        <w:tc>
          <w:tcPr>
            <w:tcW w:type="dxa" w:w="113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Exec Price (USD)</w:t>
            </w:r>
          </w:p>
        </w:tc>
        <w:tc>
          <w:tcPr>
            <w:tcW w:type="dxa" w:w="147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Notional (USD)</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Status</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Settled On</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2026-04-02 06:48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10.5</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$81,000.00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$850,500.00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2026-04-02</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2026-04-09 18:30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5.475</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$81,171.23</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$444,412.67</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2026-04-13</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2026-04-13 12:08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31.375</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$81,280.80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$2,550,175.00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2026-04-15</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 18:01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BTC/USDC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5</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$81,182.66</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$405,913.30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2026-04-20</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2026-04-15 11:45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2026-04-15</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2026-04-16 14:30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$149,910.00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2026-04-16</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2026-04-17 09:22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300,000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$299,820.00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2026-04-17</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 13:14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24,000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$23,985.60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2026-04-22</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2026-04-24 17:08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2026-04-24</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 21:14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USDT/USDC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$0.9994</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$250,762.07</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2026-04-28</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2026-04-23 11:20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80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$4,239.50</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$339,160.00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2026-04-23</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2026-04-27 15:48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$4,232.00</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$84,640.00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2026-04-27</w:t>
            </w:r>
          </w:p>
        </w:tc>
      </w:tr>
      <w:tr>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T-204687</w:t>
            </w:r>
          </w:p>
        </w:tc>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2026-04-29 14:00 UTC</w:t>
            </w:r>
          </w:p>
        </w:tc>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ETH/USDC</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30</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$4,240.00</w:t>
            </w:r>
          </w:p>
        </w:tc>
        <w:tc>
          <w:tcPr>
            <w:tcW w:type="dxa" w:w="147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$127,200.00</w:t>
            </w:r>
          </w:p>
        </w:tc>
        <w:tc>
          <w:tcPr>
            <w:tcW w:type="dxa" w:w="907"/>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5"/>
              </w:rPr>
              <w:t>Unsettled</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r>
      <w:tr>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T-204692</w:t>
            </w:r>
          </w:p>
        </w:tc>
        <w:tc>
          <w:tcPr>
            <w:tcW w:type="dxa" w:w="1587"/>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2026-04-30 09:55 UTC</w:t>
            </w:r>
          </w:p>
        </w:tc>
        <w:tc>
          <w:tcPr>
            <w:tcW w:type="dxa" w:w="1020"/>
            <w:shd w:val="clear" w:color="auto" w:fill="FEF3C7"/>
            <w:tcBorders>
              <w:bottom w:val="single" w:sz="4" w:color="D0D5DD"/>
            </w:tcBorders>
            <w:vAlign w:val="center"/>
          </w:tcPr>
          <w:p>
            <w:pPr>
              <w:spacing w:before="40" w:after="40"/>
            </w:pPr>
            <w:r>
              <w:rPr>
                <w:rFonts w:ascii="Arial" w:hAnsi="Arial"/>
                <w:rFonts w:ascii="Arial" w:hAnsi="Arial" w:cs="Arial"/>
                <w:b w:val="0"/>
                <w:i w:val="0"/>
                <w:color w:val="4A5568"/>
                <w:sz w:val="15"/>
              </w:rPr>
              <w:t>BTC/USDT</w:t>
            </w:r>
          </w:p>
        </w:tc>
        <w:tc>
          <w:tcPr>
            <w:tcW w:type="dxa" w:w="680"/>
            <w:shd w:val="clear" w:color="auto" w:fill="FEF3C7"/>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3.0625</w:t>
            </w:r>
          </w:p>
        </w:tc>
        <w:tc>
          <w:tcPr>
            <w:tcW w:type="dxa" w:w="1361"/>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$78,471.84</w:t>
            </w:r>
          </w:p>
        </w:tc>
        <w:tc>
          <w:tcPr>
            <w:tcW w:type="dxa" w:w="1474"/>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$240,320.00</w:t>
            </w:r>
          </w:p>
        </w:tc>
        <w:tc>
          <w:tcPr>
            <w:tcW w:type="dxa" w:w="907"/>
            <w:shd w:val="clear" w:color="auto" w:fill="FEF3C7"/>
            <w:tcBorders>
              <w:bottom w:val="single" w:sz="4" w:color="D0D5DD"/>
            </w:tcBorders>
            <w:vAlign w:val="center"/>
          </w:tcPr>
          <w:p>
            <w:pPr>
              <w:spacing w:before="40" w:after="40"/>
              <w:jc w:val="right"/>
            </w:pPr>
            <w:r>
              <w:rPr>
                <w:rFonts w:ascii="Arial" w:hAnsi="Arial"/>
                <w:rFonts w:ascii="Arial" w:hAnsi="Arial" w:cs="Arial"/>
                <w:b/>
                <w:i w:val="0"/>
                <w:color w:val="B45309"/>
                <w:sz w:val="15"/>
              </w:rPr>
              <w:t>Unsettled</w:t>
            </w:r>
          </w:p>
        </w:tc>
        <w:tc>
          <w:tcPr>
            <w:tcW w:type="dxa" w:w="1247"/>
            <w:shd w:val="clear" w:color="auto" w:fill="FEF3C7"/>
            <w:tcBorders>
              <w:bottom w:val="single" w:sz="4" w:color="D0D5DD"/>
            </w:tcBorders>
            <w:vAlign w:val="center"/>
          </w:tcPr>
          <w:p>
            <w:pPr>
              <w:spacing w:before="40" w:after="40"/>
              <w:jc w:val="right"/>
            </w:pPr>
            <w:r>
              <w:rPr>
                <w:rFonts w:ascii="Arial" w:hAnsi="Arial"/>
                <w:rFonts w:ascii="Arial" w:hAnsi="Arial" w:cs="Arial"/>
                <w:b w:val="0"/>
                <w:i w:val="0"/>
                <w:color w:val="4A5568"/>
                <w:sz w:val="15"/>
              </w:rPr>
              <w:t>—</w:t>
            </w:r>
          </w:p>
        </w:tc>
      </w:tr>
      <w:tr>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587"/>
            <w:tcBorders>
              <w:bottom w:val="single" w:sz="4" w:color="D0D5DD"/>
            </w:tcBorders>
            <w:vAlign w:val="center"/>
          </w:tcPr>
          <w:p>
            <w:pPr>
              <w:spacing w:before="40" w:after="40"/>
            </w:pPr>
            <w:r>
              <w:rPr>
                <w:rFonts w:ascii="Arial" w:hAnsi="Arial"/>
                <w:rFonts w:ascii="Arial" w:hAnsi="Arial" w:cs="Arial"/>
                <w:b w:val="0"/>
                <w:i w:val="0"/>
                <w:color w:val="4A5568"/>
                <w:sz w:val="15"/>
              </w:rPr>
              <w:t>2026-04-21 08:30 UTC</w:t>
            </w:r>
          </w:p>
        </w:tc>
        <w:tc>
          <w:tcPr>
            <w:tcW w:type="dxa" w:w="1020"/>
            <w:tcBorders>
              <w:bottom w:val="single" w:sz="4" w:color="D0D5DD"/>
            </w:tcBorders>
            <w:vAlign w:val="center"/>
          </w:tcPr>
          <w:p>
            <w:pPr>
              <w:spacing w:before="40" w:after="40"/>
            </w:pPr>
            <w:r>
              <w:rPr>
                <w:rFonts w:ascii="Arial" w:hAnsi="Arial"/>
                <w:rFonts w:ascii="Arial" w:hAnsi="Arial" w:cs="Arial"/>
                <w:b w:val="0"/>
                <w:i w:val="0"/>
                <w:color w:val="4A5568"/>
                <w:sz w:val="15"/>
              </w:rPr>
              <w:t>SOL/USDC</w:t>
            </w:r>
          </w:p>
        </w:tc>
        <w:tc>
          <w:tcPr>
            <w:tcW w:type="dxa" w:w="680"/>
            <w:tcBorders>
              <w:bottom w:val="single" w:sz="4" w:color="D0D5DD"/>
            </w:tcBorders>
            <w:vAlign w:val="center"/>
          </w:tcPr>
          <w:p>
            <w:pPr>
              <w:spacing w:before="40" w:after="40"/>
            </w:pPr>
            <w:r>
              <w:rPr>
                <w:rFonts w:ascii="Arial" w:hAnsi="Arial"/>
                <w:rFonts w:ascii="Arial" w:hAnsi="Arial" w:cs="Arial"/>
                <w:b/>
                <w:i w:val="0"/>
                <w:color w:val="15803D"/>
                <w:sz w:val="15"/>
              </w:rPr>
              <w:t>Buy</w:t>
            </w:r>
          </w:p>
        </w:tc>
        <w:tc>
          <w:tcPr>
            <w:tcW w:type="dxa" w:w="1134"/>
            <w:tcBorders>
              <w:bottom w:val="single" w:sz="4" w:color="D0D5DD"/>
            </w:tcBorders>
            <w:vAlign w:val="center"/>
          </w:tcPr>
          <w:p>
            <w:pPr>
              <w:spacing w:before="40" w:after="40"/>
              <w:jc w:val="right"/>
            </w:pPr>
            <w:r>
              <w:rPr>
                <w:rFonts w:ascii="Arial" w:hAnsi="Arial"/>
                <w:rFonts w:ascii="Arial" w:hAnsi="Arial" w:cs="Arial"/>
                <w:b w:val="0"/>
                <w:i w:val="0"/>
                <w:color w:val="4A5568"/>
                <w:sz w:val="15"/>
              </w:rPr>
              <w:t>1,200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$241.62</w:t>
            </w:r>
          </w:p>
        </w:tc>
        <w:tc>
          <w:tcPr>
            <w:tcW w:type="dxa" w:w="1474"/>
            <w:tcBorders>
              <w:bottom w:val="single" w:sz="4" w:color="D0D5DD"/>
            </w:tcBorders>
            <w:vAlign w:val="center"/>
          </w:tcPr>
          <w:p>
            <w:pPr>
              <w:spacing w:before="40" w:after="40"/>
              <w:jc w:val="right"/>
            </w:pPr>
            <w:r>
              <w:rPr>
                <w:rFonts w:ascii="Arial" w:hAnsi="Arial"/>
                <w:rFonts w:ascii="Arial" w:hAnsi="Arial" w:cs="Arial"/>
                <w:b w:val="0"/>
                <w:i w:val="0"/>
                <w:color w:val="4A5568"/>
                <w:sz w:val="15"/>
              </w:rPr>
              <w:t>$289,944.00</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2026-04-21</w:t>
            </w:r>
          </w:p>
        </w:tc>
      </w:tr>
      <w:tr>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58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 16:42 UTC</w:t>
            </w:r>
          </w:p>
        </w:tc>
        <w:tc>
          <w:tcPr>
            <w:tcW w:type="dxa" w:w="102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SOL/USDC</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Sell</w:t>
            </w:r>
          </w:p>
        </w:tc>
        <w:tc>
          <w:tcPr>
            <w:tcW w:type="dxa" w:w="113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$241.48</w:t>
            </w:r>
          </w:p>
        </w:tc>
        <w:tc>
          <w:tcPr>
            <w:tcW w:type="dxa" w:w="1474"/>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$169,036.00</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15803D"/>
                <w:sz w:val="15"/>
              </w:rPr>
              <w:t>Settled</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2026-04-23</w:t>
            </w:r>
          </w:p>
        </w:tc>
      </w:tr>
      <w:tr>
        <w:tc>
          <w:tcPr>
            <w:tcW w:type="dxa" w:w="102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(16 trades)</w:t>
            </w:r>
          </w:p>
        </w:tc>
        <w:tc>
          <w:tcPr>
            <w:tcW w:type="dxa" w:w="158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02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13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474"/>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$6,625,538.64</w:t>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14 Settled / 2 Unsettled</w:t>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360" w:after="120"/>
      </w:pPr>
      <w:r>
        <w:rPr>
          <w:rFonts w:ascii="Arial" w:hAnsi="Arial"/>
          <w:rFonts w:ascii="Arial" w:hAnsi="Arial" w:cs="Arial"/>
          <w:b/>
          <w:i w:val="0"/>
          <w:color w:val="0A2342"/>
          <w:sz w:val="28"/>
        </w:rPr>
        <w:t>B. Settlement Movements</w:t>
      </w:r>
    </w:p>
    <w:p>
      <w:pPr>
        <w:spacing w:before="0" w:after="120"/>
      </w:pPr>
      <w:r>
        <w:rPr>
          <w:rFonts w:ascii="Arial" w:hAnsi="Arial"/>
          <w:rFonts w:ascii="Arial" w:hAnsi="Arial" w:cs="Arial"/>
          <w:b w:val="0"/>
          <w:i w:val="0"/>
          <w:color w:val="4A5568"/>
          <w:sz w:val="18"/>
        </w:rPr>
        <w:t>Two rows per settled OTC trade — one Received (in) leg and one Paid (out) leg, linked to the trade above by Trade ID.</w:t>
      </w:r>
    </w:p>
    <w:tbl>
      <w:tblPr>
        <w:tblW w:type="auto" w:w="0"/>
        <w:jc w:val="left"/>
        <w:tblLayout w:type="fixed"/>
        <w:tblLook w:firstColumn="1" w:firstRow="1" w:lastColumn="0" w:lastRow="0" w:noHBand="0" w:noVBand="1" w:val="04A0"/>
      </w:tblPr>
      <w:tblGrid>
        <w:gridCol w:w="907"/>
        <w:gridCol w:w="1247"/>
        <w:gridCol w:w="1247"/>
        <w:gridCol w:w="680"/>
        <w:gridCol w:w="1247"/>
        <w:gridCol w:w="1247"/>
        <w:gridCol w:w="1361"/>
        <w:gridCol w:w="1361"/>
        <w:gridCol w:w="907"/>
      </w:tblGrid>
      <w:tr>
        <w:trPr>
          <w:trHeight w:val="420" w:hRule="atLeast"/>
        </w:trPr>
        <w:tc>
          <w:tcPr>
            <w:tcW w:type="dxa" w:w="90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Trade ID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Settlement Date</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Direction</w:t>
            </w:r>
          </w:p>
        </w:tc>
        <w:tc>
          <w:tcPr>
            <w:tcW w:type="dxa" w:w="680"/>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Asset</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Chain</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Quantity</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Custody Vault</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Hash / Ref</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2026-04-02</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+10.5000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$850,500.00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0x204598…recv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T-204598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2026-04-02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-850,500.0000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-$850,500.00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0x204598…paid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+5.4750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$444,412.67</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0x204602…recv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-444,412.6700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-$444,412.67</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0x204602…paid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+31.3750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$2,550,175.00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0x204614…recv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T-204614</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-2,550,175.0000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-$2,550,175.00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0x204614…paid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2026-04-20</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BTC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Bitcoin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+5.0000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$405,913.30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0x204620…recv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-405,913.3000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-$405,913.30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0x204620…paid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$199,880.00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0x204603…recv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-$199,880.00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0x204603…paid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2026-04-16</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+150,000.0000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$149,910.00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0x204605…recv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T-204605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2026-04-16</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-149,910.0000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-$149,910.00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0x204605…paid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2026-04-17</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$299,820.00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0x204611…recv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2026-04-17</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-299,820.0000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-$299,820.00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0x204611…paid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2026-04-22</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+24,000.0000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$23,985.60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0x204625…recv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2026-04-22</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-23,985.6000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-$23,985.60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0x204625…paid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2026-04-24</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$199,880.00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0x204640…recv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T-204640</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2026-04-24</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-199,880.0000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-$199,880.00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0x204640…paid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2026-04-28</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USDT</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Tron</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+250,000.0000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$250,762.07</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0x204661…recv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T-204661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-250,762.0700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-$250,762.07</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0x204661…paid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+339,160.0000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$339,160.00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0x204635…recv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T-204635</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-$339,160.00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Client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0x204635…paid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2026-04-27</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ETH</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+20.0000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$84,640.00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0x204658…recv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T-204658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2026-04-27</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Ethereum</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-84,640.0000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-$84,640.00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0x204658…paid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2026-04-21</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+1,200.0000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$289,944.00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0x204618…recv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T-204618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2026-04-21</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-289,944.0000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-$289,944.00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0x204618…paid</w:t>
            </w:r>
          </w:p>
        </w:tc>
      </w:tr>
      <w:tr>
        <w:tc>
          <w:tcPr>
            <w:tcW w:type="dxa" w:w="907"/>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tcBorders>
              <w:bottom w:val="single" w:sz="4" w:color="D0D5DD"/>
            </w:tcBorders>
            <w:vAlign w:val="center"/>
          </w:tcPr>
          <w:p>
            <w:pPr>
              <w:spacing w:before="40" w:after="40"/>
            </w:pPr>
            <w:r>
              <w:rPr>
                <w:rFonts w:ascii="Arial" w:hAnsi="Arial"/>
                <w:rFonts w:ascii="Arial" w:hAnsi="Arial" w:cs="Arial"/>
                <w:b/>
                <w:i w:val="0"/>
                <w:color w:val="15803D"/>
                <w:sz w:val="15"/>
              </w:rPr>
              <w:t>Received (in)</w:t>
            </w:r>
          </w:p>
        </w:tc>
        <w:tc>
          <w:tcPr>
            <w:tcW w:type="dxa" w:w="680"/>
            <w:tcBorders>
              <w:bottom w:val="single" w:sz="4" w:color="D0D5DD"/>
            </w:tcBorders>
            <w:vAlign w:val="center"/>
          </w:tcPr>
          <w:p>
            <w:pPr>
              <w:spacing w:before="40" w:after="40"/>
            </w:pPr>
            <w:r>
              <w:rPr>
                <w:rFonts w:ascii="Arial" w:hAnsi="Arial"/>
                <w:rFonts w:ascii="Arial" w:hAnsi="Arial" w:cs="Arial"/>
                <w:b w:val="0"/>
                <w:i w:val="0"/>
                <w:color w:val="4A5568"/>
                <w:sz w:val="15"/>
              </w:rPr>
              <w:t>USDC</w:t>
            </w:r>
          </w:p>
        </w:tc>
        <w:tc>
          <w:tcPr>
            <w:tcW w:type="dxa" w:w="1247"/>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5"/>
              </w:rPr>
              <w:t>+169,036.0000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15803D"/>
                <w:sz w:val="15"/>
              </w:rPr>
              <w:t>$169,036.00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0x204628…recv</w:t>
            </w:r>
          </w:p>
        </w:tc>
      </w:tr>
      <w:tr>
        <w:tc>
          <w:tcPr>
            <w:tcW w:type="dxa" w:w="90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T-204628</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2026-04-23</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i w:val="0"/>
                <w:color w:val="B91C1C"/>
                <w:sz w:val="15"/>
              </w:rPr>
              <w:t>Paid (out)</w:t>
            </w:r>
          </w:p>
        </w:tc>
        <w:tc>
          <w:tcPr>
            <w:tcW w:type="dxa" w:w="680"/>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w:t>
            </w:r>
          </w:p>
        </w:tc>
        <w:tc>
          <w:tcPr>
            <w:tcW w:type="dxa" w:w="1247"/>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5"/>
              </w:rPr>
              <w:t>Solana Mainnet</w:t>
            </w:r>
          </w:p>
        </w:tc>
        <w:tc>
          <w:tcPr>
            <w:tcW w:type="dxa" w:w="124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-700.0000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B91C1C"/>
                <w:sz w:val="15"/>
              </w:rPr>
              <w:t>-$169,036.00</w:t>
            </w:r>
          </w:p>
        </w:tc>
        <w:tc>
          <w:tcPr>
            <w:tcW w:type="dxa" w:w="1361"/>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Markets Settlement Wallet</w:t>
            </w:r>
          </w:p>
        </w:tc>
        <w:tc>
          <w:tcPr>
            <w:tcW w:type="dxa" w:w="907"/>
            <w:shd w:val="clear" w:color="auto" w:fill="F5F7FA"/>
            <w:tcBorders>
              <w:bottom w:val="single" w:sz="4" w:color="D0D5DD"/>
            </w:tcBorders>
            <w:vAlign w:val="center"/>
          </w:tcPr>
          <w:p>
            <w:pPr>
              <w:spacing w:before="40" w:after="40"/>
              <w:jc w:val="right"/>
            </w:pPr>
            <w:r>
              <w:rPr>
                <w:rFonts w:ascii="Arial" w:hAnsi="Arial"/>
                <w:rFonts w:ascii="Arial" w:hAnsi="Arial" w:cs="Arial"/>
                <w:b w:val="0"/>
                <w:i w:val="0"/>
                <w:color w:val="4A5568"/>
                <w:sz w:val="15"/>
              </w:rPr>
              <w:t>0x204628…paid</w:t>
            </w:r>
          </w:p>
        </w:tc>
      </w:tr>
      <w:tr>
        <w:tc>
          <w:tcPr>
            <w:tcW w:type="dxa" w:w="90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t>Total (14 settled · 28 movements)</w:t>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680"/>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pPr>
            <w:r>
              <w:rPr>
                <w:rFonts w:ascii="Arial" w:hAnsi="Arial"/>
                <w:rFonts w:ascii="Arial" w:hAnsi="Arial" w:cs="Arial"/>
                <w:b/>
                <w:i w:val="0"/>
                <w:color w:val="0A2342"/>
                <w:sz w:val="15"/>
              </w:rPr>
            </w:r>
          </w:p>
        </w:tc>
        <w:tc>
          <w:tcPr>
            <w:tcW w:type="dxa" w:w="124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t>—</w:t>
            </w:r>
          </w:p>
        </w:tc>
        <w:tc>
          <w:tcPr>
            <w:tcW w:type="dxa" w:w="1361"/>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c>
          <w:tcPr>
            <w:tcW w:type="dxa" w:w="907"/>
            <w:shd w:val="clear" w:color="auto" w:fill="E5EBF1"/>
            <w:tcBorders>
              <w:bottom w:val="single" w:sz="4" w:color="D0D5DD"/>
            </w:tcBorders>
            <w:vAlign w:val="center"/>
          </w:tcPr>
          <w:p>
            <w:pPr>
              <w:spacing w:before="40" w:after="40"/>
              <w:jc w:val="right"/>
            </w:pPr>
            <w:r>
              <w:rPr>
                <w:rFonts w:ascii="Arial" w:hAnsi="Arial"/>
                <w:rFonts w:ascii="Arial" w:hAnsi="Arial" w:cs="Arial"/>
                <w:b/>
                <w:i w:val="0"/>
                <w:color w:val="0A2342"/>
                <w:sz w:val="15"/>
              </w:rPr>
            </w:r>
          </w:p>
        </w:tc>
      </w:tr>
    </w:tbl>
    <w:p>
      <w:pPr>
        <w:spacing w:before="0" w:after="80"/>
      </w:pPr>
      <w:r>
        <w:rPr>
          <w:rFonts w:ascii="Arial" w:hAnsi="Arial"/>
          <w:rFonts w:ascii="Arial" w:hAnsi="Arial" w:cs="Arial"/>
          <w:b w:val="0"/>
          <w:i w:val="0"/>
          <w:color w:val="4A5568"/>
          <w:sz w:val="4"/>
        </w:rPr>
      </w:r>
    </w:p>
    <w:tbl>
      <w:tblPr>
        <w:tblW w:type="auto" w:w="0"/>
        <w:tblLook w:firstColumn="1" w:firstRow="1" w:lastColumn="0" w:lastRow="0" w:noHBand="0" w:noVBand="1" w:val="04A0"/>
      </w:tblPr>
      <w:tblGrid>
        <w:gridCol w:w="9866"/>
      </w:tblGrid>
      <w:tr>
        <w:tc>
          <w:tcPr>
            <w:tcW w:type="dxa" w:w="9866"/>
            <w:shd w:val="clear" w:color="auto" w:fill="EEF2F7"/>
            <w:tcBorders>
              <w:top w:val="single" w:sz="6" w:color="D0D5DD"/>
            </w:tcBorders>
            <w:tcBorders>
              <w:bottom w:val="single" w:sz="6" w:color="D0D5DD"/>
            </w:tcBorders>
            <w:tcBorders>
              <w:left w:val="single" w:sz="6" w:color="D0D5DD"/>
            </w:tcBorders>
            <w:tcBorders>
              <w:right w:val="single" w:sz="6" w:color="D0D5DD"/>
            </w:tcBorders>
          </w:tcPr>
          <w:p>
            <w:pPr>
              <w:spacing w:before="40" w:after="40"/>
            </w:pPr>
            <w:r>
              <w:rPr>
                <w:rFonts w:ascii="Arial" w:hAnsi="Arial"/>
                <w:rFonts w:ascii="Arial" w:hAnsi="Arial" w:cs="Arial"/>
                <w:b/>
                <w:i w:val="0"/>
                <w:color w:val="0A2342"/>
                <w:sz w:val="18"/>
              </w:rPr>
              <w:t xml:space="preserve">All-in price: </w:t>
            </w:r>
            <w:r>
              <w:rPr>
                <w:rFonts w:ascii="Arial" w:hAnsi="Arial"/>
                <w:rFonts w:ascii="Arial" w:hAnsi="Arial" w:cs="Arial"/>
                <w:b w:val="0"/>
                <w:i w:val="0"/>
                <w:color w:val="0A2342"/>
                <w:sz w:val="18"/>
              </w:rPr>
              <w:t>HT Markets (SVG) Ltd acts as principal and provides an all-inclusive price. No separate trading fees or commissions are charged. A spread may be embedded in the quoted price.</w:t>
            </w:r>
          </w:p>
        </w:tc>
      </w:tr>
    </w:tbl>
    <w:p>
      <w:pPr>
        <w:sectPr>
          <w:pgSz w:w="11906" w:h="16838"/>
          <w:pgMar w:top="1134" w:right="1020" w:bottom="1134" w:left="1020" w:header="720" w:footer="720" w:gutter="0"/>
          <w:cols w:space="720"/>
          <w:docGrid w:linePitch="360"/>
        </w:sectPr>
      </w:pPr>
    </w:p>
    <w:tbl>
      <w:tblPr>
        <w:tblW w:type="auto" w:w="0"/>
        <w:jc w:val="center"/>
        <w:tblLayout w:type="fixed"/>
        <w:tblLook w:firstColumn="1" w:firstRow="1" w:lastColumn="0" w:lastRow="0" w:noHBand="0" w:noVBand="1" w:val="04A0"/>
      </w:tblPr>
      <w:tblGrid>
        <w:gridCol w:w="9866"/>
      </w:tblGrid>
      <w:tr>
        <w:tc>
          <w:tcPr>
            <w:tcW w:type="dxa" w:w="9866"/>
            <w:shd w:val="clear" w:color="auto" w:fill="C8CFD8"/>
            <w:tcBorders>
              <w:top w:val="nil"/>
            </w:tcBorders>
            <w:tcBorders>
              <w:bottom w:val="nil"/>
            </w:tcBorders>
            <w:tcBorders>
              <w:left w:val="nil"/>
            </w:tcBorders>
            <w:tcBorders>
              <w:right w:val="nil"/>
            </w:tcBorders>
            <w:trHeight w:val="1400" w:hRule="atLeast"/>
            <w:vAlign w:val="center"/>
          </w:tcPr>
          <w:p>
            <w:pPr>
              <w:spacing w:before="320" w:after="160"/>
            </w:pPr>
            <w:r>
              <w:rPr>
                <w:rFonts w:ascii="Arial" w:hAnsi="Arial"/>
                <w:rFonts w:ascii="Arial" w:hAnsi="Arial" w:cs="Arial"/>
                <w:b/>
                <w:i w:val="0"/>
                <w:color w:val="0A2342"/>
                <w:sz w:val="44"/>
              </w:rPr>
              <w:t>Section 4 — Loans (Detailed View)</w:t>
            </w:r>
          </w:p>
        </w:tc>
      </w:tr>
      <w:tr>
        <w:tc>
          <w:tcPr>
            <w:tcW w:type="dxa" w:w="9866"/>
            <w:shd w:val="clear" w:color="auto" w:fill="C8CFD8"/>
            <w:tcBorders>
              <w:top w:val="nil"/>
            </w:tcBorders>
            <w:tcBorders>
              <w:bottom w:val="nil"/>
            </w:tcBorders>
            <w:tcBorders>
              <w:left w:val="nil"/>
            </w:tcBorders>
            <w:tcBorders>
              <w:right w:val="nil"/>
            </w:tcBorders>
            <w:trHeight w:val="640" w:hRule="atLeast"/>
          </w:tcPr>
          <w:p>
            <w:pPr>
              <w:spacing w:before="80" w:after="40"/>
            </w:pPr>
            <w:r>
              <w:rPr>
                <w:rFonts w:ascii="Arial" w:hAnsi="Arial"/>
                <w:rFonts w:ascii="Arial" w:hAnsi="Arial" w:cs="Arial"/>
                <w:b/>
                <w:i w:val="0"/>
                <w:color w:val="0A2342"/>
                <w:sz w:val="19"/>
              </w:rPr>
              <w:t>Vault Statement  ·  HT Markets MENA FZE</w:t>
            </w:r>
          </w:p>
          <w:p>
            <w:pPr>
              <w:spacing w:before="0" w:after="120"/>
            </w:pPr>
            <w:r>
              <w:rPr>
                <w:rFonts w:ascii="Arial" w:hAnsi="Arial"/>
                <w:rFonts w:ascii="Arial" w:hAnsi="Arial" w:cs="Arial"/>
                <w:b w:val="0"/>
                <w:i w:val="0"/>
                <w:color w:val="4A5568"/>
                <w:sz w:val="18"/>
              </w:rPr>
              <w:t>01 Apr 2026 - 30 Apr 2026</w:t>
            </w:r>
          </w:p>
        </w:tc>
      </w:tr>
    </w:tbl>
    <w:p>
      <w:pPr>
        <w:spacing w:after="120"/>
      </w:pPr>
    </w:p>
    <w:p>
      <w:pPr>
        <w:spacing w:before="0" w:after="120"/>
      </w:pPr>
      <w:r>
        <w:rPr>
          <w:rFonts w:ascii="Arial" w:hAnsi="Arial"/>
          <w:rFonts w:ascii="Arial" w:hAnsi="Arial" w:cs="Arial"/>
          <w:b w:val="0"/>
          <w:i w:val="0"/>
          <w:color w:val="4A5568"/>
          <w:sz w:val="18"/>
        </w:rPr>
        <w:t>Active borrowing and lending positions as at end of statement period. Snapshot taken at 2026-04-30 23:59:59 UTC. Per-position detail with collateral location, margin and liquidation thresholds. Per PRD v1 scope, interest accrued or paid during the period is not shown.</w:t>
      </w:r>
    </w:p>
    <w:p>
      <w:pPr>
        <w:spacing w:before="360" w:after="120"/>
      </w:pPr>
      <w:r>
        <w:rPr>
          <w:rFonts w:ascii="Arial" w:hAnsi="Arial"/>
          <w:rFonts w:ascii="Arial" w:hAnsi="Arial" w:cs="Arial"/>
          <w:b/>
          <w:i w:val="0"/>
          <w:color w:val="0A2342"/>
          <w:sz w:val="28"/>
        </w:rPr>
        <w:t>A. Borrowing positions (client borrows from Hex Trust)</w:t>
      </w:r>
    </w:p>
    <w:tbl>
      <w:tblPr>
        <w:tblW w:type="auto" w:w="0"/>
        <w:jc w:val="left"/>
        <w:tblLayout w:type="fixed"/>
        <w:tblLook w:firstColumn="1" w:firstRow="1" w:lastColumn="0" w:lastRow="0" w:noHBand="0" w:noVBand="1" w:val="04A0"/>
      </w:tblPr>
      <w:tblGrid>
        <w:gridCol w:w="1361"/>
        <w:gridCol w:w="1361"/>
        <w:gridCol w:w="1361"/>
        <w:gridCol w:w="1247"/>
        <w:gridCol w:w="1587"/>
        <w:gridCol w:w="794"/>
        <w:gridCol w:w="1247"/>
        <w:gridCol w:w="90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Borrowed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Collateral Fiat (USD)</w:t>
            </w:r>
          </w:p>
        </w:tc>
        <w:tc>
          <w:tcPr>
            <w:tcW w:type="dxa" w:w="794"/>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LTV</w:t>
            </w:r>
          </w:p>
        </w:tc>
        <w:tc>
          <w:tcPr>
            <w:tcW w:type="dxa" w:w="124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90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LN-B-2026-0418</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 USDC</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$2,000,000.00</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35.0000 BTC</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$2,676,577.50</w:t>
            </w:r>
          </w:p>
        </w:tc>
        <w:tc>
          <w:tcPr>
            <w:tcW w:type="dxa" w:w="794"/>
            <w:tcBorders>
              <w:bottom w:val="single" w:sz="4" w:color="D0D5DD"/>
            </w:tcBorders>
            <w:vAlign w:val="center"/>
          </w:tcPr>
          <w:p>
            <w:pPr>
              <w:spacing w:before="40" w:after="40"/>
              <w:jc w:val="right"/>
            </w:pPr>
            <w:r>
              <w:rPr>
                <w:rFonts w:ascii="Arial" w:hAnsi="Arial"/>
                <w:rFonts w:ascii="Arial" w:hAnsi="Arial" w:cs="Arial"/>
                <w:b/>
                <w:i w:val="0"/>
                <w:color w:val="B45309"/>
                <w:sz w:val="16"/>
              </w:rPr>
              <w:t>74.72%</w:t>
            </w:r>
          </w:p>
        </w:tc>
        <w:tc>
          <w:tcPr>
            <w:tcW w:type="dxa" w:w="1247"/>
            <w:tcBorders>
              <w:bottom w:val="single" w:sz="4" w:color="D0D5DD"/>
            </w:tcBorders>
            <w:vAlign w:val="center"/>
          </w:tcPr>
          <w:p>
            <w:pPr>
              <w:spacing w:before="40" w:after="40"/>
              <w:jc w:val="right"/>
            </w:pPr>
            <w:r>
              <w:rPr>
                <w:rFonts w:ascii="Arial" w:hAnsi="Arial"/>
                <w:rFonts w:ascii="Arial" w:hAnsi="Arial" w:cs="Arial"/>
                <w:b w:val="0"/>
                <w:i w:val="0"/>
                <w:color w:val="4A5568"/>
                <w:sz w:val="16"/>
              </w:rPr>
              <w:t>8.50% Variable</w:t>
            </w:r>
          </w:p>
        </w:tc>
        <w:tc>
          <w:tcPr>
            <w:tcW w:type="dxa" w:w="907"/>
            <w:tcBorders>
              <w:bottom w:val="single" w:sz="4" w:color="D0D5DD"/>
            </w:tcBorders>
            <w:vAlign w:val="center"/>
          </w:tcPr>
          <w:p>
            <w:pPr>
              <w:spacing w:before="40" w:after="40"/>
              <w:jc w:val="right"/>
            </w:pPr>
            <w:r>
              <w:rPr>
                <w:rFonts w:ascii="Arial" w:hAnsi="Arial"/>
                <w:rFonts w:ascii="Arial" w:hAnsi="Arial" w:cs="Arial"/>
                <w:b w:val="0"/>
                <w:i w:val="0"/>
                <w:color w:val="4A5568"/>
                <w:sz w:val="16"/>
              </w:rPr>
              <w:t>2025-12-14</w:t>
            </w:r>
          </w:p>
        </w:tc>
      </w:tr>
    </w:tbl>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Loan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LN-B-2026-0418</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Collateral location</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Held in segregated vault under client Enterprise</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Margin call trigger</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LTV ≥ 80%</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Liquidation threshold</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LTV ≥ 85%</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Rate type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8.50% Variable</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Maturity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Open-ended</w:t>
            </w:r>
          </w:p>
        </w:tc>
      </w:tr>
    </w:tbl>
    <w:p>
      <w:pPr>
        <w:spacing w:before="0" w:after="40"/>
      </w:pPr>
      <w:r>
        <w:rPr>
          <w:rFonts w:ascii="Arial" w:hAnsi="Arial"/>
          <w:rFonts w:ascii="Arial" w:hAnsi="Arial" w:cs="Arial"/>
          <w:b w:val="0"/>
          <w:i w:val="0"/>
          <w:color w:val="4A5568"/>
          <w:sz w:val="4"/>
        </w:rPr>
      </w:r>
    </w:p>
    <w:p>
      <w:pPr>
        <w:spacing w:before="360" w:after="120"/>
      </w:pPr>
      <w:r>
        <w:rPr>
          <w:rFonts w:ascii="Arial" w:hAnsi="Arial"/>
          <w:rFonts w:ascii="Arial" w:hAnsi="Arial" w:cs="Arial"/>
          <w:b/>
          <w:i w:val="0"/>
          <w:color w:val="0A2342"/>
          <w:sz w:val="28"/>
        </w:rPr>
        <w:t>B. Lending positions (client lends to Hex Trust)</w:t>
      </w:r>
    </w:p>
    <w:tbl>
      <w:tblPr>
        <w:tblW w:type="auto" w:w="0"/>
        <w:jc w:val="left"/>
        <w:tblLayout w:type="fixed"/>
        <w:tblLook w:firstColumn="1" w:firstRow="1" w:lastColumn="0" w:lastRow="0" w:noHBand="0" w:noVBand="1" w:val="04A0"/>
      </w:tblPr>
      <w:tblGrid>
        <w:gridCol w:w="1361"/>
        <w:gridCol w:w="1587"/>
        <w:gridCol w:w="1361"/>
        <w:gridCol w:w="1361"/>
        <w:gridCol w:w="1020"/>
        <w:gridCol w:w="1587"/>
        <w:gridCol w:w="1587"/>
      </w:tblGrid>
      <w:tr>
        <w:trPr>
          <w:trHeight w:val="420" w:hRule="atLeast"/>
        </w:trPr>
        <w:tc>
          <w:tcPr>
            <w:tcW w:type="dxa" w:w="1361"/>
            <w:shd w:val="clear" w:color="auto" w:fill="0A2342"/>
            <w:tcBorders>
              <w:top w:val="nil"/>
            </w:tcBorders>
            <w:tcBorders>
              <w:bottom w:val="nil"/>
            </w:tcBorders>
            <w:tcBorders>
              <w:left w:val="nil"/>
            </w:tcBorders>
            <w:tcBorders>
              <w:right w:val="nil"/>
            </w:tcBorders>
            <w:vAlign w:val="center"/>
          </w:tcPr>
          <w:p>
            <w:pPr>
              <w:spacing w:before="0" w:after="0"/>
            </w:pPr>
            <w:r>
              <w:rPr>
                <w:rFonts w:ascii="Arial" w:hAnsi="Arial"/>
                <w:rFonts w:ascii="Arial" w:hAnsi="Arial" w:cs="Arial"/>
                <w:b/>
                <w:i w:val="0"/>
                <w:color w:val="FFFFFF"/>
                <w:sz w:val="17"/>
              </w:rPr>
              <w:t>Loan ID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Asset Lent</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Fiat (USD)</w:t>
            </w:r>
          </w:p>
        </w:tc>
        <w:tc>
          <w:tcPr>
            <w:tcW w:type="dxa" w:w="1361"/>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Rate</w:t>
            </w:r>
          </w:p>
        </w:tc>
        <w:tc>
          <w:tcPr>
            <w:tcW w:type="dxa" w:w="1020"/>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Term</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Opened</w:t>
            </w:r>
          </w:p>
        </w:tc>
        <w:tc>
          <w:tcPr>
            <w:tcW w:type="dxa" w:w="1587"/>
            <w:shd w:val="clear" w:color="auto" w:fill="0A2342"/>
            <w:tcBorders>
              <w:top w:val="nil"/>
            </w:tcBorders>
            <w:tcBorders>
              <w:bottom w:val="nil"/>
            </w:tcBorders>
            <w:tcBorders>
              <w:left w:val="nil"/>
            </w:tcBorders>
            <w:tcBorders>
              <w:right w:val="nil"/>
            </w:tcBorders>
            <w:vAlign w:val="center"/>
          </w:tcPr>
          <w:p>
            <w:pPr>
              <w:spacing w:before="0" w:after="0"/>
              <w:jc w:val="right"/>
            </w:pPr>
            <w:r>
              <w:rPr>
                <w:rFonts w:ascii="Arial" w:hAnsi="Arial"/>
                <w:rFonts w:ascii="Arial" w:hAnsi="Arial" w:cs="Arial"/>
                <w:b/>
                <w:i w:val="0"/>
                <w:color w:val="FFFFFF"/>
                <w:sz w:val="17"/>
              </w:rPr>
              <w:t>Maturity</w:t>
            </w:r>
          </w:p>
        </w:tc>
      </w:tr>
      <w:tr>
        <w:tc>
          <w:tcPr>
            <w:tcW w:type="dxa" w:w="1361"/>
            <w:tcBorders>
              <w:bottom w:val="single" w:sz="4" w:color="D0D5DD"/>
            </w:tcBorders>
            <w:vAlign w:val="center"/>
          </w:tcPr>
          <w:p>
            <w:pPr>
              <w:spacing w:before="40" w:after="40"/>
            </w:pPr>
            <w:r>
              <w:rPr>
                <w:rFonts w:ascii="Arial" w:hAnsi="Arial"/>
                <w:rFonts w:ascii="Arial" w:hAnsi="Arial" w:cs="Arial"/>
                <w:b w:val="0"/>
                <w:i w:val="0"/>
                <w:color w:val="4A5568"/>
                <w:sz w:val="16"/>
              </w:rPr>
              <w:t>LN-L-2026-0218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100.0000 ETH</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$226,000.00</w:t>
            </w:r>
          </w:p>
        </w:tc>
        <w:tc>
          <w:tcPr>
            <w:tcW w:type="dxa" w:w="1361"/>
            <w:tcBorders>
              <w:bottom w:val="single" w:sz="4" w:color="D0D5DD"/>
            </w:tcBorders>
            <w:vAlign w:val="center"/>
          </w:tcPr>
          <w:p>
            <w:pPr>
              <w:spacing w:before="40" w:after="40"/>
              <w:jc w:val="right"/>
            </w:pPr>
            <w:r>
              <w:rPr>
                <w:rFonts w:ascii="Arial" w:hAnsi="Arial"/>
                <w:rFonts w:ascii="Arial" w:hAnsi="Arial" w:cs="Arial"/>
                <w:b w:val="0"/>
                <w:i w:val="0"/>
                <w:color w:val="4A5568"/>
                <w:sz w:val="16"/>
              </w:rPr>
              <w:t>4.25% Fixed</w:t>
            </w:r>
          </w:p>
        </w:tc>
        <w:tc>
          <w:tcPr>
            <w:tcW w:type="dxa" w:w="1020"/>
            <w:tcBorders>
              <w:bottom w:val="single" w:sz="4" w:color="D0D5DD"/>
            </w:tcBorders>
            <w:vAlign w:val="center"/>
          </w:tcPr>
          <w:p>
            <w:pPr>
              <w:spacing w:before="40" w:after="40"/>
              <w:jc w:val="right"/>
            </w:pPr>
            <w:r>
              <w:rPr>
                <w:rFonts w:ascii="Arial" w:hAnsi="Arial"/>
                <w:rFonts w:ascii="Arial" w:hAnsi="Arial" w:cs="Arial"/>
                <w:b w:val="0"/>
                <w:i w:val="0"/>
                <w:color w:val="4A5568"/>
                <w:sz w:val="16"/>
              </w:rPr>
              <w:t>90 days</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2026-02-18</w:t>
            </w:r>
          </w:p>
        </w:tc>
        <w:tc>
          <w:tcPr>
            <w:tcW w:type="dxa" w:w="1587"/>
            <w:tcBorders>
              <w:bottom w:val="single" w:sz="4" w:color="D0D5DD"/>
            </w:tcBorders>
            <w:vAlign w:val="center"/>
          </w:tcPr>
          <w:p>
            <w:pPr>
              <w:spacing w:before="40" w:after="40"/>
              <w:jc w:val="right"/>
            </w:pPr>
            <w:r>
              <w:rPr>
                <w:rFonts w:ascii="Arial" w:hAnsi="Arial"/>
                <w:rFonts w:ascii="Arial" w:hAnsi="Arial" w:cs="Arial"/>
                <w:b w:val="0"/>
                <w:i w:val="0"/>
                <w:color w:val="4A5568"/>
                <w:sz w:val="16"/>
              </w:rPr>
              <w:t>2026-05-19</w:t>
            </w:r>
          </w:p>
        </w:tc>
      </w:tr>
    </w:tbl>
    <w:tbl>
      <w:tblPr>
        <w:tblW w:type="auto" w:w="0"/>
        <w:tblLayout w:type="fixed"/>
        <w:tblLook w:firstColumn="1" w:firstRow="1" w:lastColumn="0" w:lastRow="0" w:noHBand="0" w:noVBand="1" w:val="04A0"/>
      </w:tblPr>
      <w:tblGrid>
        <w:gridCol w:w="3118"/>
        <w:gridCol w:w="6746"/>
      </w:tblGrid>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Loan ID</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LN-L-2026-0218</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Asset custody</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Asset transferred to Hex Trust; returned at maturity</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Rate type</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4.25% Fixed</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Term</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90 days (fixed)</w:t>
            </w:r>
          </w:p>
        </w:tc>
      </w:tr>
      <w:tr>
        <w:tc>
          <w:tcPr>
            <w:tcW w:type="dxa" w:w="3118"/>
            <w:tcBorders>
              <w:bottom w:val="single" w:sz="4" w:color="D0D5DD"/>
            </w:tcBorders>
            <w:vAlign w:val="center"/>
          </w:tcPr>
          <w:p>
            <w:pPr>
              <w:spacing w:before="40" w:after="40"/>
            </w:pPr>
            <w:r>
              <w:rPr>
                <w:rFonts w:ascii="Arial" w:hAnsi="Arial"/>
                <w:rFonts w:ascii="Arial" w:hAnsi="Arial" w:cs="Arial"/>
                <w:b/>
                <w:i w:val="0"/>
                <w:color w:val="0A2342"/>
                <w:sz w:val="18"/>
              </w:rPr>
              <w:t>Days to maturity</w:t>
            </w:r>
          </w:p>
        </w:tc>
        <w:tc>
          <w:tcPr>
            <w:tcW w:type="dxa" w:w="6746"/>
            <w:tcBorders>
              <w:bottom w:val="single" w:sz="4" w:color="D0D5DD"/>
            </w:tcBorders>
            <w:vAlign w:val="center"/>
          </w:tcPr>
          <w:p>
            <w:pPr>
              <w:spacing w:before="40" w:after="40"/>
            </w:pPr>
            <w:r>
              <w:rPr>
                <w:rFonts w:ascii="Arial" w:hAnsi="Arial"/>
                <w:rFonts w:ascii="Arial" w:hAnsi="Arial" w:cs="Arial"/>
                <w:b w:val="0"/>
                <w:i w:val="0"/>
                <w:color w:val="4A5568"/>
                <w:sz w:val="18"/>
              </w:rPr>
              <w:t>≈ 19 days</w:t>
            </w:r>
          </w:p>
        </w:tc>
      </w:tr>
      <w:tr>
        <w:tc>
          <w:tcPr>
            <w:tcW w:type="dxa" w:w="3118"/>
            <w:shd w:val="clear" w:color="auto" w:fill="F5F7FA"/>
            <w:tcBorders>
              <w:bottom w:val="single" w:sz="4" w:color="D0D5DD"/>
            </w:tcBorders>
            <w:vAlign w:val="center"/>
          </w:tcPr>
          <w:p>
            <w:pPr>
              <w:spacing w:before="40" w:after="40"/>
            </w:pPr>
            <w:r>
              <w:rPr>
                <w:rFonts w:ascii="Arial" w:hAnsi="Arial"/>
                <w:rFonts w:ascii="Arial" w:hAnsi="Arial" w:cs="Arial"/>
                <w:b/>
                <w:i w:val="0"/>
                <w:color w:val="0A2342"/>
                <w:sz w:val="18"/>
              </w:rPr>
              <w:t>Roll-over</w:t>
            </w:r>
          </w:p>
        </w:tc>
        <w:tc>
          <w:tcPr>
            <w:tcW w:type="dxa" w:w="6746"/>
            <w:shd w:val="clear" w:color="auto" w:fill="F5F7FA"/>
            <w:tcBorders>
              <w:bottom w:val="single" w:sz="4" w:color="D0D5DD"/>
            </w:tcBorders>
            <w:vAlign w:val="center"/>
          </w:tcPr>
          <w:p>
            <w:pPr>
              <w:spacing w:before="40" w:after="40"/>
            </w:pPr>
            <w:r>
              <w:rPr>
                <w:rFonts w:ascii="Arial" w:hAnsi="Arial"/>
                <w:rFonts w:ascii="Arial" w:hAnsi="Arial" w:cs="Arial"/>
                <w:b w:val="0"/>
                <w:i w:val="0"/>
                <w:color w:val="4A5568"/>
                <w:sz w:val="18"/>
              </w:rPr>
              <w:t>Manual — instructions required 7 days prior to maturity</w:t>
            </w:r>
          </w:p>
        </w:tc>
      </w:tr>
    </w:tbl>
    <w:p>
      <w:pPr>
        <w:spacing w:before="0" w:after="40"/>
      </w:pPr>
      <w:r>
        <w:rPr>
          <w:rFonts w:ascii="Arial" w:hAnsi="Arial"/>
          <w:rFonts w:ascii="Arial" w:hAnsi="Arial" w:cs="Arial"/>
          <w:b w:val="0"/>
          <w:i w:val="0"/>
          <w:color w:val="4A5568"/>
          <w:sz w:val="4"/>
        </w:rPr>
      </w:r>
    </w:p>
    <w:p>
      <w:pPr>
        <w:spacing w:before="0" w:after="80"/>
      </w:pPr>
      <w:r>
        <w:rPr>
          <w:rFonts w:ascii="Arial" w:hAnsi="Arial"/>
          <w:rFonts w:ascii="Arial" w:hAnsi="Arial" w:cs="Arial"/>
          <w:b w:val="0"/>
          <w:i/>
          <w:color w:val="4A5568"/>
          <w:sz w:val="16"/>
        </w:rPr>
        <w:t>LTV computed as borrowed_fiat ÷ collateral_fiat using closing-of-period prices. LTV thresholds: green &lt; 70%, amber 70–80%, red ≥ 80%. Margin call triggers at 80% (client must top up collateral or partially repay within 24 hours). Liquidation triggers at 85% (collateral sold to repay outstanding balance).</w:t>
      </w:r>
    </w:p>
    <w:p>
      <w:pPr>
        <w:sectPr>
          <w:pgSz w:w="11906" w:h="16838"/>
          <w:pgMar w:top="1134" w:right="1020" w:bottom="1134" w:left="1020" w:header="720" w:footer="720" w:gutter="0"/>
          <w:cols w:space="720"/>
          <w:docGrid w:linePitch="360"/>
        </w:sectPr>
      </w:pPr>
    </w:p>
    <w:p>
      <w:pPr>
        <w:spacing w:before="1200" w:after="0"/>
      </w:pPr>
      <w:r>
        <w:rPr>
          <w:rFonts w:ascii="Arial" w:hAnsi="Arial"/>
          <w:rFonts w:ascii="Arial" w:hAnsi="Arial" w:cs="Arial"/>
          <w:b w:val="0"/>
          <w:i w:val="0"/>
          <w:color w:val="4A5568"/>
          <w:sz w:val="20"/>
        </w:rPr>
      </w:r>
    </w:p>
    <w:p>
      <w:pPr>
        <w:spacing w:before="0" w:after="4800"/>
      </w:pPr>
      <w:r>
        <w:rPr>
          <w:rFonts w:ascii="Arial" w:hAnsi="Arial"/>
          <w:rFonts w:ascii="Arial" w:hAnsi="Arial" w:cs="Arial"/>
          <w:b w:val="0"/>
          <w:i w:val="0"/>
          <w:color w:val="0A2342"/>
          <w:sz w:val="22"/>
        </w:rPr>
        <w:t>If you have any questions regarding this Vault Statement Report, kindly contact clients@hextrust.com.</w:t>
      </w:r>
    </w:p>
    <w:p>
      <w:pPr>
        <w:spacing w:before="0" w:after="4000"/>
      </w:pPr>
      <w:r>
        <w:rPr>
          <w:rFonts w:ascii="Arial" w:hAnsi="Arial"/>
          <w:rFonts w:ascii="Arial" w:hAnsi="Arial" w:cs="Arial"/>
          <w:b w:val="0"/>
          <w:i w:val="0"/>
          <w:color w:val="4A5568"/>
          <w:sz w:val="20"/>
        </w:rPr>
      </w:r>
    </w:p>
    <w:p>
      <w:pPr>
        <w:spacing w:before="0" w:after="40"/>
      </w:pPr>
      <w:r>
        <w:rPr>
          <w:rFonts w:ascii="Arial" w:hAnsi="Arial"/>
          <w:rFonts w:ascii="Arial" w:hAnsi="Arial" w:cs="Arial"/>
          <w:b/>
          <w:i w:val="0"/>
          <w:color w:val="0A2342"/>
          <w:sz w:val="18"/>
        </w:rPr>
        <w:t>Disclaimer:</w:t>
      </w:r>
    </w:p>
    <w:p>
      <w:pPr>
        <w:spacing w:before="0" w:after="0"/>
      </w:pPr>
      <w:r>
        <w:rPr>
          <w:rFonts w:ascii="Arial" w:hAnsi="Arial"/>
          <w:rFonts w:ascii="Arial" w:hAnsi="Arial" w:cs="Arial"/>
          <w:b w:val="0"/>
          <w:i w:val="0"/>
          <w:color w:val="0A2342"/>
          <w:sz w:val="18"/>
        </w:rPr>
        <w:t>The client must review the information in the monthly statement and give Hex Trust written notice of any suspected error or omission as soon as reasonably possible (in any event, no later than 7 days of accessing / receiving the statement). Hex Trust will not be liable with respect to any error or omission in the monthly statement (including any reliance on any such error or omission) unless the client has timely objected in writing as aforementioned, unless such error or omission is the result of Hex Trust's bad faith or willful default.</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