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01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(Detailed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Per-position detail with collateral location, margin and liquidation thresholds, period interest (accrued / paid / outstanding) and any margin events.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LN-B-2026-0418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Collateral location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Held in segregated vault under client Enterprise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Margin call trigger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LTV ≥ 80%</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Liquidation threshold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LTV ≥ 85%</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8.50% Variable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Maturity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Open-ended</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LN-L-2026-0218</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Asset custody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Asset transferred to Hex Trust; returned at maturity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Rate type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4.25% Fixed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Term</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90 days (fixed)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Days to maturity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 19 days</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Roll-over</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Manual — instructions required 7 days prior to maturity</w:t>
            </w:r>
          </w:p>
        </w:tc>
      </w:tr>
    </w:tbl>
    <w:p>
      <w:pPr>
        <w:spacing w:before="0" w:after="40"/>
      </w:pPr>
      <w:r>
        <w:rPr>
          <w:rFonts w:ascii="Arial" w:hAnsi="Arial"/>
          <w:rFonts w:ascii="Arial" w:hAnsi="Arial" w:cs="Arial"/>
          <w:b w:val="0"/>
          <w:i w:val="0"/>
          <w:color w:val="4A5568"/>
          <w:sz w:val="4"/>
        </w:rPr>
      </w:r>
    </w:p>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Borrow interest accrues daily on outstanding principal at the stated rate. For variable-rate borrows, rate may change intra-period; figures shown are the time-weighted total for the period. Lend interest accrues daily on the lent quantity and is paid in-kind at maturity.</w:t>
      </w:r>
    </w:p>
    <w:p>
      <w:pPr>
        <w:spacing w:before="360" w:after="120"/>
      </w:pPr>
      <w:r>
        <w:rPr>
          <w:rFonts w:ascii="Arial" w:hAnsi="Arial"/>
          <w:rFonts w:ascii="Arial" w:hAnsi="Arial" w:cs="Arial"/>
          <w:b/>
          <w:i w:val="0"/>
          <w:color w:val="0A2342"/>
          <w:sz w:val="28"/>
        </w:rPr>
        <w:t>D. Margin &amp; collateral events</w:t>
      </w:r>
    </w:p>
    <w:tbl>
      <w:tblPr>
        <w:tblW w:type="auto" w:w="0"/>
        <w:jc w:val="left"/>
        <w:tblLayout w:type="fixed"/>
        <w:tblLook w:firstColumn="1" w:firstRow="1" w:lastColumn="0" w:lastRow="0" w:noHBand="0" w:noVBand="1" w:val="04A0"/>
      </w:tblPr>
      <w:tblGrid>
        <w:gridCol w:w="1757"/>
        <w:gridCol w:w="1531"/>
        <w:gridCol w:w="1531"/>
        <w:gridCol w:w="2551"/>
        <w:gridCol w:w="2835"/>
      </w:tblGrid>
      <w:tr>
        <w:trPr>
          <w:trHeight w:val="420" w:hRule="atLeast"/>
        </w:trPr>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Event</w:t>
            </w:r>
          </w:p>
        </w:tc>
        <w:tc>
          <w:tcPr>
            <w:tcW w:type="dxa" w:w="255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Trigger</w:t>
            </w:r>
          </w:p>
        </w:tc>
        <w:tc>
          <w:tcPr>
            <w:tcW w:type="dxa" w:w="283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Action taken</w:t>
            </w:r>
          </w:p>
        </w:tc>
      </w:tr>
      <w:tr>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2026-04-12 09:14 UTC</w:t>
            </w:r>
          </w:p>
        </w:tc>
        <w:tc>
          <w:tcPr>
            <w:tcW w:type="dxa" w:w="153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tcBorders>
              <w:bottom w:val="single" w:sz="4" w:color="D0D5DD"/>
            </w:tcBorders>
            <w:vAlign w:val="center"/>
          </w:tcPr>
          <w:p>
            <w:pPr>
              <w:spacing w:before="40" w:after="40"/>
            </w:pPr>
            <w:r>
              <w:rPr>
                <w:rFonts w:ascii="Arial" w:hAnsi="Arial"/>
                <w:rFonts w:ascii="Arial" w:hAnsi="Arial" w:cs="Arial"/>
                <w:b w:val="0"/>
                <w:i w:val="0"/>
                <w:color w:val="4A5568"/>
                <w:sz w:val="16"/>
              </w:rPr>
              <w:t>LTV reached 71.2% (amber zone, ≥ 70%)</w:t>
            </w:r>
          </w:p>
        </w:tc>
        <w:tc>
          <w:tcPr>
            <w:tcW w:type="dxa" w:w="2835"/>
            <w:tcBorders>
              <w:bottom w:val="single" w:sz="4" w:color="D0D5DD"/>
            </w:tcBorders>
            <w:vAlign w:val="center"/>
          </w:tcPr>
          <w:p>
            <w:pPr>
              <w:spacing w:before="40" w:after="40"/>
            </w:pPr>
            <w:r>
              <w:rPr>
                <w:rFonts w:ascii="Arial" w:hAnsi="Arial"/>
                <w:rFonts w:ascii="Arial" w:hAnsi="Arial" w:cs="Arial"/>
                <w:b w:val="0"/>
                <w:i w:val="0"/>
                <w:color w:val="4A5568"/>
                <w:sz w:val="16"/>
              </w:rPr>
              <w:t>Client notified via email; no top-up required</w:t>
            </w:r>
          </w:p>
        </w:tc>
      </w:tr>
      <w:tr>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2026-04-23 16:42 UTC</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531"/>
            <w:shd w:val="clear" w:color="auto" w:fill="F5F7FA"/>
            <w:tcBorders>
              <w:bottom w:val="single" w:sz="4" w:color="D0D5DD"/>
            </w:tcBorders>
            <w:vAlign w:val="center"/>
          </w:tcPr>
          <w:p>
            <w:pPr>
              <w:spacing w:before="40" w:after="40"/>
            </w:pPr>
            <w:r>
              <w:rPr>
                <w:rFonts w:ascii="Arial" w:hAnsi="Arial"/>
                <w:rFonts w:ascii="Arial" w:hAnsi="Arial" w:cs="Arial"/>
                <w:b/>
                <w:i w:val="0"/>
                <w:color w:val="B45309"/>
                <w:sz w:val="16"/>
              </w:rPr>
              <w:t>LTV warning</w:t>
            </w:r>
          </w:p>
        </w:tc>
        <w:tc>
          <w:tcPr>
            <w:tcW w:type="dxa" w:w="255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LTV reached 74.7% (amber zone, ≥ 70%)</w:t>
            </w:r>
          </w:p>
        </w:tc>
        <w:tc>
          <w:tcPr>
            <w:tcW w:type="dxa" w:w="283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Client notified; collateral top-up recommended</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Margin call triggers at 80% (client must top up collateral or partially repay within 24 hours). Liquidation triggers at 85% (collateral sold to repay outstanding balance).</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