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07 May 2026</w:t>
      </w:r>
    </w:p>
    <w:p>
      <w:pPr>
        <w:spacing w:before="0" w:after="0"/>
      </w:pPr>
      <w:r>
        <w:rPr>
          <w:rFonts w:ascii="Arial" w:hAnsi="Arial"/>
          <w:rFonts w:ascii="Arial" w:hAnsi="Arial" w:cs="Arial"/>
          <w:b/>
          <w:i w:val="0"/>
          <w:color w:val="0A2342"/>
          <w:sz w:val="84"/>
        </w:rPr>
        <w:t>Vault</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HT Markets MENA FZE</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Identification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Client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Enterprise ID</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ENT-AE-2811</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Statement Period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01 Apr 2026 - 30 Apr 2026</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Generated On</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07 May 2026</w:t>
            </w:r>
          </w:p>
        </w:tc>
      </w:tr>
    </w:tbl>
    <w:p>
      <w:pPr>
        <w:spacing w:before="360" w:after="120"/>
      </w:pPr>
      <w:r>
        <w:rPr>
          <w:rFonts w:ascii="Arial" w:hAnsi="Arial"/>
          <w:rFonts w:ascii="Arial" w:hAnsi="Arial" w:cs="Arial"/>
          <w:b/>
          <w:i w:val="0"/>
          <w:color w:val="0A2342"/>
          <w:sz w:val="28"/>
        </w:rPr>
        <w:t>B. Assets Under Custody (AUC)</w:t>
      </w:r>
    </w:p>
    <w:p>
      <w:pPr>
        <w:spacing w:before="0" w:after="120"/>
      </w:pPr>
      <w:r>
        <w:rPr>
          <w:rFonts w:ascii="Arial" w:hAnsi="Arial"/>
          <w:rFonts w:ascii="Arial" w:hAnsi="Arial" w:cs="Arial"/>
          <w:b w:val="0"/>
          <w:i w:val="0"/>
          <w:color w:val="4A5568"/>
          <w:sz w:val="18"/>
        </w:rPr>
        <w:t>AUC = Spendable + Staked + Vesting balance across all vaults. Excludes lent assets and borrowed liabilities.</w:t>
      </w:r>
    </w:p>
    <w:tbl>
      <w:tblPr>
        <w:tblW w:type="auto" w:w="0"/>
        <w:jc w:val="left"/>
        <w:tblLayout w:type="fixed"/>
        <w:tblLook w:firstColumn="1" w:firstRow="1" w:lastColumn="0" w:lastRow="0" w:noHBand="0" w:noVBand="1" w:val="04A0"/>
      </w:tblPr>
      <w:tblGrid>
        <w:gridCol w:w="1984"/>
        <w:gridCol w:w="3118"/>
        <w:gridCol w:w="4762"/>
      </w:tblGrid>
      <w:tr>
        <w:trPr>
          <w:trHeight w:val="420" w:hRule="atLeast"/>
        </w:trPr>
        <w:tc>
          <w:tcPr>
            <w:tcW w:type="dxa" w:w="198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Snapshot</w:t>
            </w:r>
          </w:p>
        </w:tc>
        <w:tc>
          <w:tcPr>
            <w:tcW w:type="dxa" w:w="311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Timestamp (UTC)</w:t>
            </w:r>
          </w:p>
        </w:tc>
        <w:tc>
          <w:tcPr>
            <w:tcW w:type="dxa" w:w="4762"/>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AUC (USD)</w:t>
            </w:r>
          </w:p>
        </w:tc>
      </w:tr>
      <w:tr>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9"/>
              </w:rPr>
              <w:t>Opening</w:t>
            </w:r>
          </w:p>
        </w:tc>
        <w:tc>
          <w:tcPr>
            <w:tcW w:type="dxa" w:w="3118"/>
            <w:tcBorders>
              <w:bottom w:val="single" w:sz="4" w:color="D0D5DD"/>
            </w:tcBorders>
            <w:vAlign w:val="center"/>
          </w:tcPr>
          <w:p>
            <w:pPr>
              <w:spacing w:before="40" w:after="40"/>
            </w:pPr>
            <w:r>
              <w:rPr>
                <w:rFonts w:ascii="Arial" w:hAnsi="Arial"/>
                <w:rFonts w:ascii="Arial" w:hAnsi="Arial" w:cs="Arial"/>
                <w:b w:val="0"/>
                <w:i w:val="0"/>
                <w:color w:val="4A5568"/>
                <w:sz w:val="19"/>
              </w:rPr>
              <w:t>2026-03-31 23:59:59</w:t>
            </w:r>
          </w:p>
        </w:tc>
        <w:tc>
          <w:tcPr>
            <w:tcW w:type="dxa" w:w="4762"/>
            <w:tcBorders>
              <w:bottom w:val="single" w:sz="4" w:color="D0D5DD"/>
            </w:tcBorders>
            <w:vAlign w:val="center"/>
          </w:tcPr>
          <w:p>
            <w:pPr>
              <w:spacing w:before="40" w:after="40"/>
              <w:jc w:val="right"/>
            </w:pPr>
            <w:r>
              <w:rPr>
                <w:rFonts w:ascii="Arial" w:hAnsi="Arial"/>
                <w:rFonts w:ascii="Arial" w:hAnsi="Arial" w:cs="Arial"/>
                <w:b w:val="0"/>
                <w:i w:val="0"/>
                <w:color w:val="4A5568"/>
                <w:sz w:val="19"/>
              </w:rPr>
              <w:t>$681,245.18</w:t>
            </w:r>
          </w:p>
        </w:tc>
      </w:tr>
      <w:tr>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Closing</w:t>
            </w:r>
          </w:p>
        </w:tc>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2026-04-30 23:59:59</w:t>
            </w:r>
          </w:p>
        </w:tc>
        <w:tc>
          <w:tcPr>
            <w:tcW w:type="dxa" w:w="4762"/>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9"/>
              </w:rPr>
              <w:t>$758,974.12</w:t>
            </w:r>
          </w:p>
        </w:tc>
      </w:tr>
      <w:tr>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9"/>
              </w:rPr>
              <w:t>Change</w:t>
            </w:r>
          </w:p>
        </w:tc>
        <w:tc>
          <w:tcPr>
            <w:tcW w:type="dxa" w:w="3118"/>
            <w:tcBorders>
              <w:bottom w:val="single" w:sz="4" w:color="D0D5DD"/>
            </w:tcBorders>
            <w:vAlign w:val="center"/>
          </w:tcPr>
          <w:p>
            <w:pPr>
              <w:spacing w:before="40" w:after="40"/>
            </w:pPr>
            <w:r>
              <w:rPr>
                <w:rFonts w:ascii="Arial" w:hAnsi="Arial"/>
                <w:rFonts w:ascii="Arial" w:hAnsi="Arial" w:cs="Arial"/>
                <w:b w:val="0"/>
                <w:i w:val="0"/>
                <w:color w:val="4A5568"/>
                <w:sz w:val="19"/>
              </w:rPr>
              <w:t>—</w:t>
            </w:r>
          </w:p>
        </w:tc>
        <w:tc>
          <w:tcPr>
            <w:tcW w:type="dxa" w:w="4762"/>
            <w:tcBorders>
              <w:bottom w:val="single" w:sz="4" w:color="D0D5DD"/>
            </w:tcBorders>
            <w:vAlign w:val="center"/>
          </w:tcPr>
          <w:p>
            <w:pPr>
              <w:spacing w:before="40" w:after="40"/>
              <w:jc w:val="right"/>
            </w:pPr>
            <w:r>
              <w:rPr>
                <w:rFonts w:ascii="Arial" w:hAnsi="Arial"/>
                <w:rFonts w:ascii="Arial" w:hAnsi="Arial" w:cs="Arial"/>
                <w:b/>
                <w:i w:val="0"/>
                <w:color w:val="15803D"/>
                <w:sz w:val="19"/>
              </w:rPr>
              <w:t>+$77,728.94  (+11.41%)</w:t>
            </w:r>
          </w:p>
        </w:tc>
      </w:tr>
    </w:tbl>
    <w:p>
      <w:pPr>
        <w:spacing w:before="360" w:after="120"/>
      </w:pPr>
      <w:r>
        <w:rPr>
          <w:rFonts w:ascii="Arial" w:hAnsi="Arial"/>
          <w:rFonts w:ascii="Arial" w:hAnsi="Arial" w:cs="Arial"/>
          <w:b/>
          <w:i w:val="0"/>
          <w:color w:val="0A2342"/>
          <w:sz w:val="28"/>
        </w:rPr>
        <w:t>C. OTC Trading Activity (period)</w:t>
      </w:r>
    </w:p>
    <w:tbl>
      <w:tblPr>
        <w:tblW w:type="auto" w:w="0"/>
        <w:jc w:val="left"/>
        <w:tblLayout w:type="fixed"/>
        <w:tblLook w:firstColumn="1" w:firstRow="1" w:lastColumn="0" w:lastRow="0" w:noHBand="0" w:noVBand="1" w:val="04A0"/>
      </w:tblPr>
      <w:tblGrid>
        <w:gridCol w:w="5386"/>
        <w:gridCol w:w="4479"/>
      </w:tblGrid>
      <w:tr>
        <w:trPr>
          <w:trHeight w:val="420" w:hRule="atLeast"/>
        </w:trPr>
        <w:tc>
          <w:tcPr>
            <w:tcW w:type="dxa" w:w="5386"/>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4479"/>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Total trades booked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16</w:t>
            </w:r>
          </w:p>
        </w:tc>
      </w:tr>
      <w:tr>
        <w:tc>
          <w:tcPr>
            <w:tcW w:type="dxa" w:w="538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Total notional traded (gross, USD)</w:t>
            </w:r>
          </w:p>
        </w:tc>
        <w:tc>
          <w:tcPr>
            <w:tcW w:type="dxa" w:w="4479"/>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$6,213,840.00</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Settled at period end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14 of 16</w:t>
            </w:r>
          </w:p>
        </w:tc>
      </w:tr>
      <w:tr>
        <w:tc>
          <w:tcPr>
            <w:tcW w:type="dxa" w:w="5386"/>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Unsettled at period end</w:t>
            </w:r>
          </w:p>
        </w:tc>
        <w:tc>
          <w:tcPr>
            <w:tcW w:type="dxa" w:w="4479"/>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7"/>
              </w:rPr>
              <w:t>2 trade(s) totalling $367,520.00</w:t>
            </w:r>
          </w:p>
        </w:tc>
      </w:tr>
    </w:tbl>
    <w:p>
      <w:pPr>
        <w:spacing w:before="360" w:after="120"/>
      </w:pPr>
      <w:r>
        <w:rPr>
          <w:rFonts w:ascii="Arial" w:hAnsi="Arial"/>
          <w:rFonts w:ascii="Arial" w:hAnsi="Arial" w:cs="Arial"/>
          <w:b/>
          <w:i w:val="0"/>
          <w:color w:val="0A2342"/>
          <w:sz w:val="28"/>
        </w:rPr>
        <w:t>D. Loans — open positions at period end</w:t>
      </w:r>
    </w:p>
    <w:tbl>
      <w:tblPr>
        <w:tblW w:type="auto" w:w="0"/>
        <w:jc w:val="left"/>
        <w:tblLayout w:type="fixed"/>
        <w:tblLook w:firstColumn="1" w:firstRow="1" w:lastColumn="0" w:lastRow="0" w:noHBand="0" w:noVBand="1" w:val="04A0"/>
      </w:tblPr>
      <w:tblGrid>
        <w:gridCol w:w="3402"/>
        <w:gridCol w:w="6463"/>
      </w:tblGrid>
      <w:tr>
        <w:trPr>
          <w:trHeight w:val="420" w:hRule="atLeast"/>
        </w:trPr>
        <w:tc>
          <w:tcPr>
            <w:tcW w:type="dxa" w:w="3402"/>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6463"/>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3402"/>
            <w:tcBorders>
              <w:bottom w:val="single" w:sz="4" w:color="D0D5DD"/>
            </w:tcBorders>
            <w:vAlign w:val="center"/>
          </w:tcPr>
          <w:p>
            <w:pPr>
              <w:spacing w:before="40" w:after="40"/>
            </w:pPr>
            <w:r>
              <w:rPr>
                <w:rFonts w:ascii="Arial" w:hAnsi="Arial"/>
                <w:rFonts w:ascii="Arial" w:hAnsi="Arial" w:cs="Arial"/>
                <w:b w:val="0"/>
                <w:i w:val="0"/>
                <w:color w:val="4A5568"/>
                <w:sz w:val="17"/>
              </w:rPr>
              <w:t>Open borrowing positions</w:t>
            </w:r>
          </w:p>
        </w:tc>
        <w:tc>
          <w:tcPr>
            <w:tcW w:type="dxa" w:w="6463"/>
            <w:tcBorders>
              <w:bottom w:val="single" w:sz="4" w:color="D0D5DD"/>
            </w:tcBorders>
            <w:vAlign w:val="center"/>
          </w:tcPr>
          <w:p>
            <w:pPr>
              <w:spacing w:before="40" w:after="40"/>
              <w:jc w:val="right"/>
            </w:pPr>
            <w:r>
              <w:rPr>
                <w:rFonts w:ascii="Arial" w:hAnsi="Arial"/>
                <w:rFonts w:ascii="Arial" w:hAnsi="Arial" w:cs="Arial"/>
                <w:b w:val="0"/>
                <w:i w:val="0"/>
                <w:color w:val="4A5568"/>
                <w:sz w:val="17"/>
              </w:rPr>
              <w:t>1  (Borrowed: $2,000,000.00  ·  Collateral posted: $2,676,577.50)</w:t>
            </w:r>
          </w:p>
        </w:tc>
      </w:tr>
      <w:tr>
        <w:tc>
          <w:tcPr>
            <w:tcW w:type="dxa" w:w="3402"/>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Open lending positions</w:t>
            </w:r>
          </w:p>
        </w:tc>
        <w:tc>
          <w:tcPr>
            <w:tcW w:type="dxa" w:w="6463"/>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  (Lent: $226,000.00)</w:t>
            </w:r>
          </w:p>
        </w:tc>
      </w:tr>
      <w:tr>
        <w:tc>
          <w:tcPr>
            <w:tcW w:type="dxa" w:w="3402"/>
            <w:tcBorders>
              <w:bottom w:val="single" w:sz="4" w:color="D0D5DD"/>
            </w:tcBorders>
            <w:vAlign w:val="center"/>
          </w:tcPr>
          <w:p>
            <w:pPr>
              <w:spacing w:before="40" w:after="40"/>
            </w:pPr>
            <w:r>
              <w:rPr>
                <w:rFonts w:ascii="Arial" w:hAnsi="Arial"/>
                <w:rFonts w:ascii="Arial" w:hAnsi="Arial" w:cs="Arial"/>
                <w:b w:val="0"/>
                <w:i w:val="0"/>
                <w:color w:val="4A5568"/>
                <w:sz w:val="17"/>
              </w:rPr>
              <w:t>Net loan position (Lent − Borrowed)</w:t>
            </w:r>
          </w:p>
        </w:tc>
        <w:tc>
          <w:tcPr>
            <w:tcW w:type="dxa" w:w="6463"/>
            <w:tcBorders>
              <w:bottom w:val="single" w:sz="4" w:color="D0D5DD"/>
            </w:tcBorders>
            <w:vAlign w:val="center"/>
          </w:tcPr>
          <w:p>
            <w:pPr>
              <w:spacing w:before="40" w:after="40"/>
              <w:jc w:val="right"/>
            </w:pPr>
            <w:r>
              <w:rPr>
                <w:rFonts w:ascii="Arial" w:hAnsi="Arial"/>
                <w:rFonts w:ascii="Arial" w:hAnsi="Arial" w:cs="Arial"/>
                <w:b/>
                <w:i w:val="0"/>
                <w:color w:val="B91C1C"/>
                <w:sz w:val="17"/>
              </w:rPr>
              <w:t>-$1,774,000.00</w:t>
            </w:r>
          </w:p>
        </w:tc>
      </w:tr>
    </w:tbl>
    <w:p>
      <w:pPr>
        <w:spacing w:before="360" w:after="120"/>
      </w:pPr>
      <w:r>
        <w:rPr>
          <w:rFonts w:ascii="Arial" w:hAnsi="Arial"/>
          <w:rFonts w:ascii="Arial" w:hAnsi="Arial" w:cs="Arial"/>
          <w:b/>
          <w:i w:val="0"/>
          <w:color w:val="0A2342"/>
          <w:sz w:val="28"/>
        </w:rPr>
        <w:t>E. Pending Items</w:t>
      </w:r>
    </w:p>
    <w:p>
      <w:pPr>
        <w:spacing w:before="0" w:after="120"/>
      </w:pPr>
      <w:r>
        <w:rPr>
          <w:rFonts w:ascii="Arial" w:hAnsi="Arial"/>
          <w:rFonts w:ascii="Arial" w:hAnsi="Arial" w:cs="Arial"/>
          <w:b w:val="0"/>
          <w:i w:val="0"/>
          <w:color w:val="4A5568"/>
          <w:sz w:val="18"/>
        </w:rPr>
        <w:t>Open items at end of period: travel-rule declarations awaiting client action, and OTC trades pending settlement.</w:t>
      </w:r>
    </w:p>
    <w:tbl>
      <w:tblPr>
        <w:tblW w:type="auto" w:w="0"/>
        <w:jc w:val="left"/>
        <w:tblLayout w:type="fixed"/>
        <w:tblLook w:firstColumn="1" w:firstRow="1" w:lastColumn="0" w:lastRow="0" w:noHBand="0" w:noVBand="1" w:val="04A0"/>
      </w:tblPr>
      <w:tblGrid>
        <w:gridCol w:w="1587"/>
        <w:gridCol w:w="1814"/>
        <w:gridCol w:w="6463"/>
      </w:tblGrid>
      <w:tr>
        <w:trPr>
          <w:trHeight w:val="420" w:hRule="atLeast"/>
        </w:trPr>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Topic</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Status</w:t>
            </w:r>
          </w:p>
        </w:tc>
        <w:tc>
          <w:tcPr>
            <w:tcW w:type="dxa" w:w="6463"/>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Summary</w:t>
            </w:r>
          </w:p>
        </w:tc>
      </w:tr>
      <w:tr>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Travel Rule</w:t>
            </w:r>
          </w:p>
        </w:tc>
        <w:tc>
          <w:tcPr>
            <w:tcW w:type="dxa" w:w="1814"/>
            <w:shd w:val="clear" w:color="auto" w:fill="FEF3C7"/>
            <w:tcBorders>
              <w:bottom w:val="single" w:sz="4" w:color="D0D5DD"/>
            </w:tcBorders>
            <w:vAlign w:val="center"/>
          </w:tcPr>
          <w:p>
            <w:pPr>
              <w:spacing w:before="40" w:after="40"/>
            </w:pPr>
            <w:r>
              <w:rPr>
                <w:rFonts w:ascii="Arial" w:hAnsi="Arial"/>
                <w:rFonts w:ascii="Arial" w:hAnsi="Arial" w:cs="Arial"/>
                <w:b/>
                <w:i w:val="0"/>
                <w:color w:val="B45309"/>
                <w:sz w:val="17"/>
              </w:rPr>
              <w:t>● Action required</w:t>
            </w:r>
          </w:p>
        </w:tc>
        <w:tc>
          <w:tcPr>
            <w:tcW w:type="dxa" w:w="6463"/>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3 transaction(s) totalling $1,938,386.97 are flagged 'Travel Rule declaration pending'. Please resolve via the client portal.</w:t>
            </w:r>
          </w:p>
        </w:tc>
      </w:tr>
      <w:tr>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OTC Settlement</w:t>
            </w:r>
          </w:p>
        </w:tc>
        <w:tc>
          <w:tcPr>
            <w:tcW w:type="dxa" w:w="1814"/>
            <w:shd w:val="clear" w:color="auto" w:fill="FEF3C7"/>
            <w:tcBorders>
              <w:bottom w:val="single" w:sz="4" w:color="D0D5DD"/>
            </w:tcBorders>
            <w:vAlign w:val="center"/>
          </w:tcPr>
          <w:p>
            <w:pPr>
              <w:spacing w:before="40" w:after="40"/>
            </w:pPr>
            <w:r>
              <w:rPr>
                <w:rFonts w:ascii="Arial" w:hAnsi="Arial"/>
                <w:rFonts w:ascii="Arial" w:hAnsi="Arial" w:cs="Arial"/>
                <w:b/>
                <w:i w:val="0"/>
                <w:color w:val="B45309"/>
                <w:sz w:val="17"/>
              </w:rPr>
              <w:t>● Pending settlement</w:t>
            </w:r>
          </w:p>
        </w:tc>
        <w:tc>
          <w:tcPr>
            <w:tcW w:type="dxa" w:w="6463"/>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2 OTC trade(s) totalling $367,520.00 are unsettled at end of period. Settlement is handled by Hex Trust — no client action required. See OTC Trading section for full detail.</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2 — Custody (Simplified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Enterprise-level rolled-up custody balances across all vaults. Opening snapshot: 2026-03-31 23:59:59 UTC. Closing snapshot: 2026-04-30 23:59:59 UTC. No per-vault breakdown and no individual transaction lines are shown.</w:t>
      </w:r>
    </w:p>
    <w:p>
      <w:pPr>
        <w:spacing w:before="360" w:after="120"/>
      </w:pPr>
      <w:r>
        <w:rPr>
          <w:rFonts w:ascii="Arial" w:hAnsi="Arial"/>
          <w:rFonts w:ascii="Arial" w:hAnsi="Arial" w:cs="Arial"/>
          <w:b/>
          <w:i w:val="0"/>
          <w:color w:val="0A2342"/>
          <w:sz w:val="28"/>
        </w:rPr>
        <w:t>A. Opening &amp; Closing Balances per Asset</w:t>
      </w:r>
    </w:p>
    <w:tbl>
      <w:tblPr>
        <w:tblW w:type="auto" w:w="0"/>
        <w:jc w:val="left"/>
        <w:tblLayout w:type="fixed"/>
        <w:tblLook w:firstColumn="1" w:firstRow="1" w:lastColumn="0" w:lastRow="0" w:noHBand="0" w:noVBand="1" w:val="04A0"/>
      </w:tblPr>
      <w:tblGrid>
        <w:gridCol w:w="907"/>
        <w:gridCol w:w="1701"/>
        <w:gridCol w:w="1587"/>
        <w:gridCol w:w="1417"/>
        <w:gridCol w:w="1587"/>
        <w:gridCol w:w="1417"/>
        <w:gridCol w:w="1247"/>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Fiat</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Fiat</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656,196.42711000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$655,540.23</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489,913.33977000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$489,673.77</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B91C1C"/>
                <w:sz w:val="15"/>
              </w:rPr>
              <w:t>-$165,866.46</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128,859.54296000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$128,730.68</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174,340.63964000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$174,315.91</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+$45,585.23</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0.49900000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$35,055.50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0.90190000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$68,927.74</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+$33,872.24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0.13029000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$286.64</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0.12868000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$290.95</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+$4.31</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Arbitrum</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0.04998000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$113.01</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+$113.01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184,436.16179000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$184,251.72</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21,136.69899000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$21,126.36</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-$163,125.36</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TRX</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319.51600000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$105.44</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206.37006000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$67.40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B91C1C"/>
                <w:sz w:val="15"/>
              </w:rPr>
              <w:t>-$38.04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870.00000000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$869.57</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+$869.57</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105.36293000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3,582.71589000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$3,582.20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+$3,476.84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BNB</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0.09988000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$61.46</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+$61.46</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0.05754000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$4.79</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0.29176000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$24.27</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+$19.48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Polygon</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30.19967000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$2.87</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+$2.87</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w:t>
            </w:r>
          </w:p>
        </w:tc>
        <w:tc>
          <w:tcPr>
            <w:tcW w:type="dxa" w:w="170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41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$1,004,080.36</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41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$759,055.51</w:t>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-$245,024.85</w:t>
            </w:r>
          </w:p>
        </w:tc>
      </w:tr>
    </w:tbl>
    <w:p>
      <w:pPr>
        <w:spacing w:before="360" w:after="120"/>
      </w:pPr>
      <w:r>
        <w:rPr>
          <w:rFonts w:ascii="Arial" w:hAnsi="Arial"/>
          <w:rFonts w:ascii="Arial" w:hAnsi="Arial" w:cs="Arial"/>
          <w:b/>
          <w:i w:val="0"/>
          <w:color w:val="0A2342"/>
          <w:sz w:val="28"/>
        </w:rPr>
        <w:t>B. Period Activity — Total Received &amp; Sent</w:t>
      </w:r>
    </w:p>
    <w:p>
      <w:pPr>
        <w:spacing w:before="0" w:after="120"/>
      </w:pPr>
      <w:r>
        <w:rPr>
          <w:rFonts w:ascii="Arial" w:hAnsi="Arial"/>
          <w:rFonts w:ascii="Arial" w:hAnsi="Arial" w:cs="Arial"/>
          <w:b w:val="0"/>
          <w:i w:val="0"/>
          <w:color w:val="4A5568"/>
          <w:sz w:val="18"/>
        </w:rPr>
        <w:t>Total received and sent during the period, per asset. Includes Transfer-In, Transfer-Out, and Market Settlement-In / -Out movements. Excludes internal staking operations.</w:t>
      </w:r>
    </w:p>
    <w:tbl>
      <w:tblPr>
        <w:tblW w:type="auto" w:w="0"/>
        <w:jc w:val="left"/>
        <w:tblLayout w:type="fixed"/>
        <w:tblLook w:firstColumn="1" w:firstRow="1" w:lastColumn="0" w:lastRow="0" w:noHBand="0" w:noVBand="1" w:val="04A0"/>
      </w:tblPr>
      <w:tblGrid>
        <w:gridCol w:w="907"/>
        <w:gridCol w:w="1701"/>
        <w:gridCol w:w="1814"/>
        <w:gridCol w:w="1701"/>
        <w:gridCol w:w="1814"/>
        <w:gridCol w:w="1928"/>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Received Qty</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Received Fiat</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Sent Qty</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Sent Fiat</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696,000.00000000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$695,304.00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862,283.12734000</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$861,420.85</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514,437.67000000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$513,923.23</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468,956.57332000</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$468,487.63</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BTC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Bitcoin</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8.61419000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$638,234.50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8.21129000</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$627,251.20</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0.00002000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$0.04</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0.00163000</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$3.69</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Arbitrum</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0.05000000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$113.05</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0.00002000</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$0.04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3,447,932.04000000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$3,444,484.31</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3,611,231.50280000</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$3,607,620.27</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TRX</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$6.55</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113.14583000</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$43.62</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870.00000000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$869.57</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3,477.35300000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$3,476.85</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BNB</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0.09988000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$61.46</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SOL</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0.23422000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$19.50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POL</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Polygon</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30.19967000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$2.87</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70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81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$5,296,495.93</w:t>
            </w:r>
          </w:p>
        </w:tc>
        <w:tc>
          <w:tcPr>
            <w:tcW w:type="dxa" w:w="181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$5,564,827.30</w:t>
            </w:r>
          </w:p>
        </w:tc>
      </w:tr>
    </w:tbl>
    <w:p>
      <w:pPr>
        <w:spacing w:before="360" w:after="120"/>
      </w:pPr>
      <w:r>
        <w:rPr>
          <w:rFonts w:ascii="Arial" w:hAnsi="Arial"/>
          <w:rFonts w:ascii="Arial" w:hAnsi="Arial" w:cs="Arial"/>
          <w:b/>
          <w:i w:val="0"/>
          <w:color w:val="0A2342"/>
          <w:sz w:val="28"/>
        </w:rPr>
        <w:t>C. NFT Balance</w:t>
      </w:r>
    </w:p>
    <w:p>
      <w:pPr>
        <w:spacing w:before="0" w:after="120"/>
      </w:pPr>
      <w:r>
        <w:rPr>
          <w:rFonts w:ascii="Arial" w:hAnsi="Arial"/>
          <w:rFonts w:ascii="Arial" w:hAnsi="Arial" w:cs="Arial"/>
          <w:b w:val="0"/>
          <w:i w:val="0"/>
          <w:color w:val="4A5568"/>
          <w:sz w:val="18"/>
        </w:rPr>
        <w:t>Aggregate NFT holdings across all vaults at end of period. NFTs are listed by collection/name; quantities only (no fiat valuation).</w:t>
      </w:r>
    </w:p>
    <w:tbl>
      <w:tblPr>
        <w:tblW w:type="auto" w:w="0"/>
        <w:jc w:val="left"/>
        <w:tblLayout w:type="fixed"/>
        <w:tblLook w:firstColumn="1" w:firstRow="1" w:lastColumn="0" w:lastRow="0" w:noHBand="0" w:noVBand="1" w:val="04A0"/>
      </w:tblPr>
      <w:tblGrid>
        <w:gridCol w:w="5669"/>
        <w:gridCol w:w="2268"/>
        <w:gridCol w:w="1928"/>
      </w:tblGrid>
      <w:tr>
        <w:trPr>
          <w:trHeight w:val="420" w:hRule="atLeast"/>
        </w:trPr>
        <w:tc>
          <w:tcPr>
            <w:tcW w:type="dxa" w:w="566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26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BNB Chain Official Exchange Voucher</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BSC</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Colorful Desktop Background #026</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DBW PRE SALE LIVE</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3</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Lido: stETH Withdrawal NFT</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(6 NFT collections)</w:t>
            </w:r>
          </w:p>
        </w:tc>
        <w:tc>
          <w:tcPr>
            <w:tcW w:type="dxa" w:w="2268"/>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10</w:t>
            </w:r>
          </w:p>
        </w:tc>
      </w:tr>
    </w:tbl>
    <w:p>
      <w:pPr>
        <w:spacing w:before="360" w:after="120"/>
      </w:pPr>
      <w:r>
        <w:rPr>
          <w:rFonts w:ascii="Arial" w:hAnsi="Arial"/>
          <w:rFonts w:ascii="Arial" w:hAnsi="Arial" w:cs="Arial"/>
          <w:b/>
          <w:i w:val="0"/>
          <w:color w:val="0A2342"/>
          <w:sz w:val="28"/>
        </w:rPr>
        <w:t>D. Staking Sub-section</w:t>
      </w:r>
    </w:p>
    <w:p>
      <w:pPr>
        <w:spacing w:before="160" w:after="60"/>
      </w:pPr>
      <w:r>
        <w:rPr>
          <w:rFonts w:ascii="Arial" w:hAnsi="Arial"/>
          <w:rFonts w:ascii="Arial" w:hAnsi="Arial" w:cs="Arial"/>
          <w:b/>
          <w:i w:val="0"/>
          <w:color w:val="0F2A4D"/>
          <w:sz w:val="20"/>
        </w:rPr>
        <w:t>Position</w:t>
      </w:r>
    </w:p>
    <w:tbl>
      <w:tblPr>
        <w:tblW w:type="auto" w:w="0"/>
        <w:jc w:val="left"/>
        <w:tblLayout w:type="fixed"/>
        <w:tblLook w:firstColumn="1" w:firstRow="1" w:lastColumn="0" w:lastRow="0" w:noHBand="0" w:noVBand="1" w:val="04A0"/>
      </w:tblPr>
      <w:tblGrid>
        <w:gridCol w:w="794"/>
        <w:gridCol w:w="1020"/>
        <w:gridCol w:w="1814"/>
        <w:gridCol w:w="1247"/>
        <w:gridCol w:w="1247"/>
        <w:gridCol w:w="1134"/>
        <w:gridCol w:w="1247"/>
        <w:gridCol w:w="1361"/>
      </w:tblGrid>
      <w:tr>
        <w:trPr>
          <w:trHeight w:val="420" w:hRule="atLeast"/>
        </w:trPr>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Staked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Staked</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Staked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Unbonding</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 (USD)</w:t>
            </w:r>
          </w:p>
        </w:tc>
      </w:tr>
      <w:tr>
        <w:tc>
          <w:tcPr>
            <w:tcW w:type="dxa" w:w="79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134"/>
            <w:tcBorders>
              <w:bottom w:val="single" w:sz="4" w:color="D0D5DD"/>
            </w:tcBorders>
            <w:vAlign w:val="center"/>
          </w:tcPr>
          <w:p>
            <w:pPr>
              <w:spacing w:before="40" w:after="40"/>
              <w:jc w:val="right"/>
            </w:pPr>
            <w:r>
              <w:rPr>
                <w:rFonts w:ascii="Arial" w:hAnsi="Arial"/>
                <w:rFonts w:ascii="Arial" w:hAnsi="Arial" w:cs="Arial"/>
                <w:b/>
                <w:i w:val="0"/>
                <w:color w:val="4A5568"/>
                <w:sz w:val="16"/>
              </w:rPr>
              <w:t>0.0000 ETH</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r>
    </w:tbl>
    <w:p>
      <w:pPr>
        <w:spacing w:before="160" w:after="60"/>
      </w:pPr>
      <w:r>
        <w:rPr>
          <w:rFonts w:ascii="Arial" w:hAnsi="Arial"/>
          <w:rFonts w:ascii="Arial" w:hAnsi="Arial" w:cs="Arial"/>
          <w:b/>
          <w:i w:val="0"/>
          <w:color w:val="0F2A4D"/>
          <w:sz w:val="20"/>
        </w:rPr>
        <w:t>Rewards &amp; lifecycle</w:t>
      </w:r>
    </w:p>
    <w:tbl>
      <w:tblPr>
        <w:tblW w:type="auto" w:w="0"/>
        <w:jc w:val="left"/>
        <w:tblLayout w:type="fixed"/>
        <w:tblLook w:firstColumn="1" w:firstRow="1" w:lastColumn="0" w:lastRow="0" w:noHBand="0" w:noVBand="1" w:val="04A0"/>
      </w:tblPr>
      <w:tblGrid>
        <w:gridCol w:w="907"/>
        <w:gridCol w:w="2494"/>
        <w:gridCol w:w="2041"/>
        <w:gridCol w:w="2381"/>
        <w:gridCol w:w="2041"/>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24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Rewards Claimed (period)</w:t>
            </w:r>
          </w:p>
        </w:tc>
        <w:tc>
          <w:tcPr>
            <w:tcW w:type="dxa" w:w="238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Rewards Claimable (at period end)</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Commission (period)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2494"/>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0.8420 ETH</w:t>
              <w:br/>
              <w:t>$1,902.92</w:t>
            </w:r>
          </w:p>
        </w:tc>
        <w:tc>
          <w:tcPr>
            <w:tcW w:type="dxa" w:w="2381"/>
            <w:tcBorders>
              <w:bottom w:val="single" w:sz="4" w:color="D0D5DD"/>
            </w:tcBorders>
            <w:vAlign w:val="center"/>
          </w:tcPr>
          <w:p>
            <w:pPr>
              <w:spacing w:before="40" w:after="40"/>
              <w:jc w:val="right"/>
            </w:pPr>
            <w:r>
              <w:rPr>
                <w:rFonts w:ascii="Arial" w:hAnsi="Arial"/>
                <w:rFonts w:ascii="Arial" w:hAnsi="Arial" w:cs="Arial"/>
                <w:b w:val="0"/>
                <w:i w:val="0"/>
                <w:color w:val="4A5568"/>
                <w:sz w:val="16"/>
              </w:rPr>
              <w:t>0.0210 ETH</w:t>
              <w:br/>
              <w:t>$47.46</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0.0080 ETH</w:t>
              <w:br/>
              <w:t>$18.08</w:t>
            </w:r>
          </w:p>
        </w:tc>
      </w:tr>
    </w:tbl>
    <w:p>
      <w:pPr>
        <w:spacing w:before="360" w:after="120"/>
      </w:pPr>
      <w:r>
        <w:rPr>
          <w:rFonts w:ascii="Arial" w:hAnsi="Arial"/>
          <w:rFonts w:ascii="Arial" w:hAnsi="Arial" w:cs="Arial"/>
          <w:b/>
          <w:i w:val="0"/>
          <w:color w:val="0A2342"/>
          <w:sz w:val="28"/>
        </w:rPr>
        <w:t>E. Fee</w:t>
      </w:r>
    </w:p>
    <w:p>
      <w:pPr>
        <w:spacing w:before="0" w:after="120"/>
      </w:pPr>
      <w:r>
        <w:rPr>
          <w:rFonts w:ascii="Arial" w:hAnsi="Arial"/>
          <w:rFonts w:ascii="Arial" w:hAnsi="Arial" w:cs="Arial"/>
          <w:b w:val="0"/>
          <w:i w:val="0"/>
          <w:color w:val="4A5568"/>
          <w:sz w:val="18"/>
        </w:rPr>
        <w:t>Fees charged during the statement period, disclosed in accordance with MAS Notice PSN04 fee transparency requirements. All fees are invoiced in USD off-statement (deducted via separate invoice).</w:t>
      </w:r>
    </w:p>
    <w:tbl>
      <w:tblPr>
        <w:tblW w:type="auto" w:w="0"/>
        <w:jc w:val="left"/>
        <w:tblLayout w:type="fixed"/>
        <w:tblLook w:firstColumn="1" w:firstRow="1" w:lastColumn="0" w:lastRow="0" w:noHBand="0" w:noVBand="1" w:val="04A0"/>
      </w:tblPr>
      <w:tblGrid>
        <w:gridCol w:w="1587"/>
        <w:gridCol w:w="2948"/>
        <w:gridCol w:w="3628"/>
        <w:gridCol w:w="1701"/>
      </w:tblGrid>
      <w:tr>
        <w:trPr>
          <w:trHeight w:val="420" w:hRule="atLeast"/>
        </w:trPr>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Fee Type</w:t>
            </w:r>
          </w:p>
        </w:tc>
        <w:tc>
          <w:tcPr>
            <w:tcW w:type="dxa" w:w="294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Rate / Schedule</w:t>
            </w:r>
          </w:p>
        </w:tc>
        <w:tc>
          <w:tcPr>
            <w:tcW w:type="dxa" w:w="362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Basis</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Amount (USD)</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7"/>
              </w:rPr>
              <w:t>Custody fee</w:t>
            </w:r>
          </w:p>
        </w:tc>
        <w:tc>
          <w:tcPr>
            <w:tcW w:type="dxa" w:w="2948"/>
            <w:tcBorders>
              <w:bottom w:val="single" w:sz="4" w:color="D0D5DD"/>
            </w:tcBorders>
            <w:vAlign w:val="center"/>
          </w:tcPr>
          <w:p>
            <w:pPr>
              <w:spacing w:before="40" w:after="40"/>
            </w:pPr>
            <w:r>
              <w:rPr>
                <w:rFonts w:ascii="Arial" w:hAnsi="Arial"/>
                <w:rFonts w:ascii="Arial" w:hAnsi="Arial" w:cs="Arial"/>
                <w:b w:val="0"/>
                <w:i w:val="0"/>
                <w:color w:val="4A5568"/>
                <w:sz w:val="17"/>
              </w:rPr>
              <w:t>0.25% p.a. (25 bps), calculated on daily AUC</w:t>
            </w:r>
          </w:p>
        </w:tc>
        <w:tc>
          <w:tcPr>
            <w:tcW w:type="dxa" w:w="3628"/>
            <w:tcBorders>
              <w:bottom w:val="single" w:sz="4" w:color="D0D5DD"/>
            </w:tcBorders>
            <w:vAlign w:val="center"/>
          </w:tcPr>
          <w:p>
            <w:pPr>
              <w:spacing w:before="40" w:after="40"/>
            </w:pPr>
            <w:r>
              <w:rPr>
                <w:rFonts w:ascii="Arial" w:hAnsi="Arial"/>
                <w:rFonts w:ascii="Arial" w:hAnsi="Arial" w:cs="Arial"/>
                <w:b w:val="0"/>
                <w:i w:val="0"/>
                <w:color w:val="4A5568"/>
                <w:sz w:val="17"/>
              </w:rPr>
              <w:t>Avg daily AUC $760,425.18 over 01 Apr 2026 – 30 Apr 2026 (30 days)</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7"/>
              </w:rPr>
              <w:t>$156.25</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Withdrawal fee</w:t>
            </w:r>
          </w:p>
        </w:tc>
        <w:tc>
          <w:tcPr>
            <w:tcW w:type="dxa" w:w="294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Per-withdrawal flat fee, varies by chain</w:t>
            </w:r>
          </w:p>
        </w:tc>
        <w:tc>
          <w:tcPr>
            <w:tcW w:type="dxa" w:w="362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12 withdrawals (Bitcoin 3 · Ethereum 4 · Tron 5)</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$69.97</w:t>
            </w:r>
          </w:p>
        </w:tc>
      </w:tr>
      <w:tr>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w:t>
            </w:r>
          </w:p>
        </w:tc>
        <w:tc>
          <w:tcPr>
            <w:tcW w:type="dxa" w:w="2948"/>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3628"/>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$226.22</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3 — OTC Trading (Simplified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OTC trade activity for the period, rolled up by trading pair. Settlement asset movements are recorded in the Custody section as Market Settlement-In / Market Settlement-Out and are not duplicated here. Individual trade detail is provided in the Detailed view.</w:t>
      </w:r>
    </w:p>
    <w:p>
      <w:pPr>
        <w:spacing w:before="360" w:after="120"/>
      </w:pPr>
      <w:r>
        <w:rPr>
          <w:rFonts w:ascii="Arial" w:hAnsi="Arial"/>
          <w:rFonts w:ascii="Arial" w:hAnsi="Arial" w:cs="Arial"/>
          <w:b/>
          <w:i w:val="0"/>
          <w:color w:val="0A2342"/>
          <w:sz w:val="28"/>
        </w:rPr>
        <w:t>Activity by Trading Pair</w:t>
      </w:r>
    </w:p>
    <w:tbl>
      <w:tblPr>
        <w:tblW w:type="auto" w:w="0"/>
        <w:jc w:val="left"/>
        <w:tblLayout w:type="fixed"/>
        <w:tblLook w:firstColumn="1" w:firstRow="1" w:lastColumn="0" w:lastRow="0" w:noHBand="0" w:noVBand="1" w:val="04A0"/>
      </w:tblPr>
      <w:tblGrid>
        <w:gridCol w:w="1247"/>
        <w:gridCol w:w="907"/>
        <w:gridCol w:w="1701"/>
        <w:gridCol w:w="1814"/>
        <w:gridCol w:w="1587"/>
        <w:gridCol w:w="1020"/>
        <w:gridCol w:w="1587"/>
      </w:tblGrid>
      <w:tr>
        <w:trPr>
          <w:trHeight w:val="420" w:hRule="atLeast"/>
        </w:trPr>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Pair</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 Trades</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Gross Notional (USD)</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Net Base Qty</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Avg Exec Price (USD)</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Settled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Unsettled</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6"/>
              </w:rPr>
              <w:t>BTC/USDC</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4</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$4,250,500.00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15803D"/>
                <w:sz w:val="16"/>
              </w:rPr>
              <w:t>+52.3500 BTC</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$81,191.00</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4</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USDT/USDC</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$1,124,237.67</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6"/>
              </w:rPr>
              <w:t>+1,124,000.0000 USDT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$0.9994</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6"/>
              </w:rPr>
              <w:t>ETH/USDC</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3</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$478,000.00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B91C1C"/>
                <w:sz w:val="16"/>
              </w:rPr>
              <w:t>-30.0000 ETH</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$4,243.33</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2</w:t>
            </w:r>
          </w:p>
        </w:tc>
        <w:tc>
          <w:tcPr>
            <w:tcW w:type="dxa" w:w="1587"/>
            <w:tcBorders>
              <w:bottom w:val="single" w:sz="4" w:color="D0D5DD"/>
            </w:tcBorders>
            <w:vAlign w:val="center"/>
          </w:tcPr>
          <w:p>
            <w:pPr>
              <w:spacing w:before="40" w:after="40"/>
              <w:jc w:val="right"/>
            </w:pPr>
            <w:r>
              <w:rPr>
                <w:rFonts w:ascii="Arial" w:hAnsi="Arial"/>
                <w:rFonts w:ascii="Arial" w:hAnsi="Arial" w:cs="Arial"/>
                <w:b/>
                <w:i w:val="0"/>
                <w:color w:val="B45309"/>
                <w:sz w:val="16"/>
              </w:rPr>
              <w:t>1</w:t>
            </w:r>
          </w:p>
        </w:tc>
      </w:tr>
      <w:tr>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BTC/USDT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$240,320.00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6"/>
              </w:rPr>
              <w:t>+3.0625 BTC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$78,471.84</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i w:val="0"/>
                <w:color w:val="B45309"/>
                <w:sz w:val="16"/>
              </w:rPr>
              <w:t>1</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6"/>
              </w:rPr>
              <w:t>SOL/USDC</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2</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$120,782.33</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15803D"/>
                <w:sz w:val="16"/>
              </w:rPr>
              <w:t>+500.0000 SOL</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$241.56</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2</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90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16</w:t>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$6,213,840.00</w:t>
            </w:r>
          </w:p>
        </w:tc>
        <w:tc>
          <w:tcPr>
            <w:tcW w:type="dxa" w:w="181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w:t>
            </w:r>
          </w:p>
        </w:tc>
        <w:tc>
          <w:tcPr>
            <w:tcW w:type="dxa" w:w="1020"/>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14</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w:t>
            </w:r>
          </w:p>
        </w:tc>
      </w:tr>
    </w:tbl>
    <w:p>
      <w:pPr>
        <w:spacing w:before="0" w:after="80"/>
      </w:pPr>
      <w:r>
        <w:rPr>
          <w:rFonts w:ascii="Arial" w:hAnsi="Arial"/>
          <w:rFonts w:ascii="Arial" w:hAnsi="Arial" w:cs="Arial"/>
          <w:b w:val="0"/>
          <w:i w:val="0"/>
          <w:color w:val="4A5568"/>
          <w:sz w:val="4"/>
        </w:rPr>
      </w:r>
    </w:p>
    <w:tbl>
      <w:tblPr>
        <w:tblW w:type="auto" w:w="0"/>
        <w:tblLook w:firstColumn="1" w:firstRow="1" w:lastColumn="0" w:lastRow="0" w:noHBand="0" w:noVBand="1" w:val="04A0"/>
      </w:tblPr>
      <w:tblGrid>
        <w:gridCol w:w="9866"/>
      </w:tblGrid>
      <w:tr>
        <w:tc>
          <w:tcPr>
            <w:tcW w:type="dxa" w:w="9866"/>
            <w:shd w:val="clear" w:color="auto" w:fill="EEF2F7"/>
            <w:tcBorders>
              <w:top w:val="single" w:sz="6" w:color="D0D5DD"/>
            </w:tcBorders>
            <w:tcBorders>
              <w:bottom w:val="single" w:sz="6" w:color="D0D5DD"/>
            </w:tcBorders>
            <w:tcBorders>
              <w:left w:val="single" w:sz="6" w:color="D0D5DD"/>
            </w:tcBorders>
            <w:tcBorders>
              <w:right w:val="single" w:sz="6" w:color="D0D5DD"/>
            </w:tcBorders>
          </w:tcPr>
          <w:p>
            <w:pPr>
              <w:spacing w:before="40" w:after="40"/>
            </w:pPr>
            <w:r>
              <w:rPr>
                <w:rFonts w:ascii="Arial" w:hAnsi="Arial"/>
                <w:rFonts w:ascii="Arial" w:hAnsi="Arial" w:cs="Arial"/>
                <w:b/>
                <w:i w:val="0"/>
                <w:color w:val="0A2342"/>
                <w:sz w:val="18"/>
              </w:rPr>
              <w:t xml:space="preserve">All-in price: </w:t>
            </w:r>
            <w:r>
              <w:rPr>
                <w:rFonts w:ascii="Arial" w:hAnsi="Arial"/>
                <w:rFonts w:ascii="Arial" w:hAnsi="Arial" w:cs="Arial"/>
                <w:b w:val="0"/>
                <w:i w:val="0"/>
                <w:color w:val="0A2342"/>
                <w:sz w:val="18"/>
              </w:rPr>
              <w:t>HT Markets (SVG) Ltd acts as principal and provides an all-inclusive price. No separate trading fees or commissions are charged. A spread may be embedded in the quoted price.</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4 — Loans (Simplified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Active borrowing and lending positions as at end of statement period. Snapshot taken at 2026-04-30 23:59:59 UTC. Per PRD v1 scope, interest accrued or paid during the period is not shown on this statement; full drawdown / repayment history is excluded (open positions only).</w:t>
      </w:r>
    </w:p>
    <w:p>
      <w:pPr>
        <w:spacing w:before="360" w:after="120"/>
      </w:pPr>
      <w:r>
        <w:rPr>
          <w:rFonts w:ascii="Arial" w:hAnsi="Arial"/>
          <w:rFonts w:ascii="Arial" w:hAnsi="Arial" w:cs="Arial"/>
          <w:b/>
          <w:i w:val="0"/>
          <w:color w:val="0A2342"/>
          <w:sz w:val="28"/>
        </w:rPr>
        <w:t>A. Borrowing positions (client borrows from Hex Trust)</w:t>
      </w:r>
    </w:p>
    <w:tbl>
      <w:tblPr>
        <w:tblW w:type="auto" w:w="0"/>
        <w:jc w:val="left"/>
        <w:tblLayout w:type="fixed"/>
        <w:tblLook w:firstColumn="1" w:firstRow="1" w:lastColumn="0" w:lastRow="0" w:noHBand="0" w:noVBand="1" w:val="04A0"/>
      </w:tblPr>
      <w:tblGrid>
        <w:gridCol w:w="1361"/>
        <w:gridCol w:w="1361"/>
        <w:gridCol w:w="1361"/>
        <w:gridCol w:w="1247"/>
        <w:gridCol w:w="1587"/>
        <w:gridCol w:w="794"/>
        <w:gridCol w:w="1247"/>
        <w:gridCol w:w="907"/>
      </w:tblGrid>
      <w:tr>
        <w:trPr>
          <w:trHeight w:val="420" w:hRule="atLeast"/>
        </w:trPr>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Borrowed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 Fiat (USD)</w:t>
            </w:r>
          </w:p>
        </w:tc>
        <w:tc>
          <w:tcPr>
            <w:tcW w:type="dxa" w:w="79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LTV</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r>
      <w:tr>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6"/>
              </w:rPr>
              <w:t>LN-B-2026-0418</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 USDC</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35.0000 BTC</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$2,676,577.50</w:t>
            </w:r>
          </w:p>
        </w:tc>
        <w:tc>
          <w:tcPr>
            <w:tcW w:type="dxa" w:w="794"/>
            <w:tcBorders>
              <w:bottom w:val="single" w:sz="4" w:color="D0D5DD"/>
            </w:tcBorders>
            <w:vAlign w:val="center"/>
          </w:tcPr>
          <w:p>
            <w:pPr>
              <w:spacing w:before="40" w:after="40"/>
              <w:jc w:val="right"/>
            </w:pPr>
            <w:r>
              <w:rPr>
                <w:rFonts w:ascii="Arial" w:hAnsi="Arial"/>
                <w:rFonts w:ascii="Arial" w:hAnsi="Arial" w:cs="Arial"/>
                <w:b/>
                <w:i w:val="0"/>
                <w:color w:val="B45309"/>
                <w:sz w:val="16"/>
              </w:rPr>
              <w:t>74.72%</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8.50% Variable</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2025-12-14</w:t>
            </w:r>
          </w:p>
        </w:tc>
      </w:tr>
    </w:tbl>
    <w:p>
      <w:pPr>
        <w:spacing w:before="360" w:after="120"/>
      </w:pPr>
      <w:r>
        <w:rPr>
          <w:rFonts w:ascii="Arial" w:hAnsi="Arial"/>
          <w:rFonts w:ascii="Arial" w:hAnsi="Arial" w:cs="Arial"/>
          <w:b/>
          <w:i w:val="0"/>
          <w:color w:val="0A2342"/>
          <w:sz w:val="28"/>
        </w:rPr>
        <w:t>B. Lending positions (client lends to Hex Trust)</w:t>
      </w:r>
    </w:p>
    <w:tbl>
      <w:tblPr>
        <w:tblW w:type="auto" w:w="0"/>
        <w:jc w:val="left"/>
        <w:tblLayout w:type="fixed"/>
        <w:tblLook w:firstColumn="1" w:firstRow="1" w:lastColumn="0" w:lastRow="0" w:noHBand="0" w:noVBand="1" w:val="04A0"/>
      </w:tblPr>
      <w:tblGrid>
        <w:gridCol w:w="1361"/>
        <w:gridCol w:w="1587"/>
        <w:gridCol w:w="1361"/>
        <w:gridCol w:w="1361"/>
        <w:gridCol w:w="1020"/>
        <w:gridCol w:w="1587"/>
        <w:gridCol w:w="1587"/>
      </w:tblGrid>
      <w:tr>
        <w:trPr>
          <w:trHeight w:val="420" w:hRule="atLeast"/>
        </w:trPr>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Asset Lent</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Term</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Maturity</w:t>
            </w:r>
          </w:p>
        </w:tc>
      </w:tr>
      <w:tr>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6"/>
              </w:rPr>
              <w:t>LN-L-2026-0218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4.25% Fixed</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90 days</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2026-02-18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2026-05-19</w:t>
            </w:r>
          </w:p>
        </w:tc>
      </w:tr>
    </w:tbl>
    <w:p>
      <w:pPr>
        <w:spacing w:before="0" w:after="80"/>
      </w:pPr>
      <w:r>
        <w:rPr>
          <w:rFonts w:ascii="Arial" w:hAnsi="Arial"/>
          <w:rFonts w:ascii="Arial" w:hAnsi="Arial" w:cs="Arial"/>
          <w:b w:val="0"/>
          <w:i/>
          <w:color w:val="4A5568"/>
          <w:sz w:val="16"/>
        </w:rPr>
        <w:t>LTV computed as borrowed_fiat ÷ collateral_fiat using closing-of-period prices. LTV thresholds: green &lt; 70%, amber 70–80%, red ≥ 80%.</w:t>
      </w:r>
    </w:p>
    <w:p>
      <w:pPr>
        <w:sectPr>
          <w:pgSz w:w="11906" w:h="16838"/>
          <w:pgMar w:top="1134" w:right="1020" w:bottom="1134" w:left="102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Vault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w:t>
      </w:r>
    </w:p>
    <w:p>
      <w:pPr>
        <w:spacing w:before="0" w:after="0"/>
      </w:pPr>
      <w:r>
        <w:rPr>
          <w:rFonts w:ascii="Arial" w:hAnsi="Arial"/>
          <w:rFonts w:ascii="Arial" w:hAnsi="Arial" w:cs="Arial"/>
          <w:b w:val="0"/>
          <w:i w:val="0"/>
          <w:color w:val="0A2342"/>
          <w:sz w:val="18"/>
        </w:rPr>
        <w:t>The client must review the information in the monthly statement and give Hex Trust written notice of any suspected error or omission as soon as reasonably possible (in any event, no later than 7 days of accessing / receiving the statement). Hex Trust will not be liable with respect to any error or omission in the monthly statement (including any reliance on any such error or omission) unless the client has timely objected in writing as aforementioned, unless such error or omission is the result of Hex Trust's bad faith or willful default.</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