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LTV PROTOCOL — V1.1-ALPHA GOVERNANCE &amp; SAFETY PATCH</w:t>
      </w:r>
    </w:p>
    <w:p>
      <w:r>
        <w:t>Security, Explainability, Identity, Privacy, and Routing Transparency Extensions</w:t>
      </w:r>
    </w:p>
    <w:p/>
    <w:p>
      <w:r>
        <w:t>---</w:t>
      </w:r>
    </w:p>
    <w:p/>
    <w:p>
      <w:r>
        <w:t>1. PREDICT EXPLAINABILITY SURFACE</w:t>
      </w:r>
    </w:p>
    <w:p/>
    <w:p>
      <w:r>
        <w:t>To address regulatory, auditability, and agentic decision‑trust requirements, the /predict endpoint SHALL expose an Explainability Surface.</w:t>
      </w:r>
    </w:p>
    <w:p/>
    <w:p>
      <w:r>
        <w:t>New Response Fields:</w:t>
      </w:r>
    </w:p>
    <w:p/>
    <w:p>
      <w:r>
        <w:t>• ltv_value (float)</w:t>
      </w:r>
    </w:p>
    <w:p>
      <w:r>
        <w:t>• confidence (0–1)</w:t>
      </w:r>
    </w:p>
    <w:p>
      <w:r>
        <w:t>• feature_attributions (array)</w:t>
      </w:r>
    </w:p>
    <w:p>
      <w:r>
        <w:t xml:space="preserve">    - feature_id (string)</w:t>
      </w:r>
    </w:p>
    <w:p>
      <w:r>
        <w:t xml:space="preserve">    - direction (positive | negative | neutral)</w:t>
      </w:r>
    </w:p>
    <w:p>
      <w:r>
        <w:t xml:space="preserve">    - weight_normalized (0–1)</w:t>
      </w:r>
    </w:p>
    <w:p/>
    <w:p>
      <w:r>
        <w:t>• reasoning_path (array)</w:t>
      </w:r>
    </w:p>
    <w:p>
      <w:r>
        <w:t xml:space="preserve">    - category (behavioral | financial | retention | risk)</w:t>
      </w:r>
    </w:p>
    <w:p>
      <w:r>
        <w:t xml:space="preserve">    - summary (string)</w:t>
      </w:r>
    </w:p>
    <w:p>
      <w:r>
        <w:t xml:space="preserve">    - impact_band (low | medium | high)</w:t>
      </w:r>
    </w:p>
    <w:p/>
    <w:p>
      <w:r>
        <w:t>• evidence_hashes (object)</w:t>
      </w:r>
    </w:p>
    <w:p>
      <w:r>
        <w:t xml:space="preserve">    - signals_hash (SHA256)</w:t>
      </w:r>
    </w:p>
    <w:p>
      <w:r>
        <w:t xml:space="preserve">    - model_version_hash (SHA256)</w:t>
      </w:r>
    </w:p>
    <w:p/>
    <w:p>
      <w:r>
        <w:t>Purpose:</w:t>
      </w:r>
    </w:p>
    <w:p>
      <w:r>
        <w:t>Provides audit‑grade interpretability without exposing proprietary model parameters.</w:t>
      </w:r>
    </w:p>
    <w:p/>
    <w:p>
      <w:r>
        <w:t>---</w:t>
      </w:r>
    </w:p>
    <w:p/>
    <w:p>
      <w:r>
        <w:t>2. IDENTITY TRUST CHAIN &amp; REVOCATION</w:t>
      </w:r>
    </w:p>
    <w:p/>
    <w:p>
      <w:r>
        <w:t>The /identity layer SHALL implement cryptographic trust lifecycle management.</w:t>
      </w:r>
    </w:p>
    <w:p/>
    <w:p>
      <w:r>
        <w:t>2.1 Key Rotation</w:t>
      </w:r>
    </w:p>
    <w:p/>
    <w:p>
      <w:r>
        <w:t>• jwks_uri endpoint required</w:t>
      </w:r>
    </w:p>
    <w:p>
      <w:r>
        <w:t>• All signatures MUST include kid</w:t>
      </w:r>
    </w:p>
    <w:p>
      <w:r>
        <w:t>• Parallel key validity supported</w:t>
      </w:r>
    </w:p>
    <w:p/>
    <w:p>
      <w:r>
        <w:t>2.2 Revocation Endpoints</w:t>
      </w:r>
    </w:p>
    <w:p/>
    <w:p>
      <w:r>
        <w:t>Option A — CRL:</w:t>
      </w:r>
    </w:p>
    <w:p>
      <w:r>
        <w:t>GET /identity/crl</w:t>
      </w:r>
    </w:p>
    <w:p/>
    <w:p>
      <w:r>
        <w:t>Option B — Status Check:</w:t>
      </w:r>
    </w:p>
    <w:p>
      <w:r>
        <w:t>GET /identity/status?cert_id=</w:t>
      </w:r>
    </w:p>
    <w:p/>
    <w:p>
      <w:r>
        <w:t>2.3 Break‑Glass Incident Protocol</w:t>
      </w:r>
    </w:p>
    <w:p/>
    <w:p>
      <w:r>
        <w:t>Upon key compromise:</w:t>
      </w:r>
    </w:p>
    <w:p/>
    <w:p>
      <w:r>
        <w:t>1. Immediate kid revocation</w:t>
      </w:r>
    </w:p>
    <w:p>
      <w:r>
        <w:t>2. Incident ID issuance</w:t>
      </w:r>
    </w:p>
    <w:p>
      <w:r>
        <w:t>3. Routing safe_mode activation</w:t>
      </w:r>
    </w:p>
    <w:p>
      <w:r>
        <w:t>4. TTL cache limit ≤ 5 minutes</w:t>
      </w:r>
    </w:p>
    <w:p/>
    <w:p>
      <w:r>
        <w:t>Purpose:</w:t>
      </w:r>
    </w:p>
    <w:p>
      <w:r>
        <w:t>Ensures rapid containment of trust breaches across agent networks.</w:t>
      </w:r>
    </w:p>
    <w:p/>
    <w:p>
      <w:r>
        <w:t>---</w:t>
      </w:r>
    </w:p>
    <w:p/>
    <w:p>
      <w:r>
        <w:t>3. PRIVACY‑SAFE SIGNAL SCHEMA</w:t>
      </w:r>
    </w:p>
    <w:p/>
    <w:p>
      <w:r>
        <w:t>The PredictRequest.signals field SHALL move from open schema to strict allowlist validation.</w:t>
      </w:r>
    </w:p>
    <w:p/>
    <w:p>
      <w:r>
        <w:t>3.1 Schema Constraints</w:t>
      </w:r>
    </w:p>
    <w:p/>
    <w:p>
      <w:r>
        <w:t>Signals MUST be pre‑defined:</w:t>
      </w:r>
    </w:p>
    <w:p/>
    <w:p>
      <w:r>
        <w:t>Examples:</w:t>
      </w:r>
    </w:p>
    <w:p/>
    <w:p>
      <w:r>
        <w:t>• tenure_days (integer)</w:t>
      </w:r>
    </w:p>
    <w:p>
      <w:r>
        <w:t>• avg_order_value_180d (float)</w:t>
      </w:r>
    </w:p>
    <w:p>
      <w:r>
        <w:t>• refund_ratio_90d (float)</w:t>
      </w:r>
    </w:p>
    <w:p>
      <w:r>
        <w:t>• chargeback_rate_90d (float)</w:t>
      </w:r>
    </w:p>
    <w:p/>
    <w:p>
      <w:r>
        <w:t>3.2 PII Prohibition</w:t>
      </w:r>
    </w:p>
    <w:p/>
    <w:p>
      <w:r>
        <w:t>Raw personal data is strictly forbidden, including but not limited to:</w:t>
      </w:r>
    </w:p>
    <w:p/>
    <w:p>
      <w:r>
        <w:t>• name</w:t>
      </w:r>
    </w:p>
    <w:p>
      <w:r>
        <w:t>• email</w:t>
      </w:r>
    </w:p>
    <w:p>
      <w:r>
        <w:t>• phone</w:t>
      </w:r>
    </w:p>
    <w:p>
      <w:r>
        <w:t>• wallet balance</w:t>
      </w:r>
    </w:p>
    <w:p/>
    <w:p>
      <w:r>
        <w:t>3.3 Enforcement Errors</w:t>
      </w:r>
    </w:p>
    <w:p/>
    <w:p>
      <w:r>
        <w:t>• PII_DETECTED</w:t>
      </w:r>
    </w:p>
    <w:p>
      <w:r>
        <w:t>• SCHEMA_VIOLATION</w:t>
      </w:r>
    </w:p>
    <w:p>
      <w:r>
        <w:t>• SIGNAL_OUT_OF_RANGE</w:t>
      </w:r>
    </w:p>
    <w:p/>
    <w:p>
      <w:r>
        <w:t>Purpose:</w:t>
      </w:r>
    </w:p>
    <w:p>
      <w:r>
        <w:t>Ensures GDPR / CCPA compliance and minimizes sensitive data exposure.</w:t>
      </w:r>
    </w:p>
    <w:p/>
    <w:p>
      <w:r>
        <w:t>---</w:t>
      </w:r>
    </w:p>
    <w:p/>
    <w:p>
      <w:r>
        <w:t>4. ROUTING POLICY TRANSPARENCY</w:t>
      </w:r>
    </w:p>
    <w:p/>
    <w:p>
      <w:r>
        <w:t>Routing logic SHALL be governed by versioned, auditable policy artifacts.</w:t>
      </w:r>
    </w:p>
    <w:p/>
    <w:p>
      <w:r>
        <w:t>4.1 Policy Endpoint</w:t>
      </w:r>
    </w:p>
    <w:p/>
    <w:p>
      <w:r>
        <w:t>GET /routing/policy</w:t>
      </w:r>
    </w:p>
    <w:p/>
    <w:p>
      <w:r>
        <w:t>Returns:</w:t>
      </w:r>
    </w:p>
    <w:p/>
    <w:p>
      <w:r>
        <w:t>• policy_version</w:t>
      </w:r>
    </w:p>
    <w:p>
      <w:r>
        <w:t>• effective_at</w:t>
      </w:r>
    </w:p>
    <w:p>
      <w:r>
        <w:t>• change_reason</w:t>
      </w:r>
    </w:p>
    <w:p>
      <w:r>
        <w:t>• policy_hash (SHA256)</w:t>
      </w:r>
    </w:p>
    <w:p/>
    <w:p>
      <w:r>
        <w:t>4.2 Transparency Log</w:t>
      </w:r>
    </w:p>
    <w:p/>
    <w:p>
      <w:r>
        <w:t>Each policy_hash SHALL be published to a public transparency log for independent verification.</w:t>
      </w:r>
    </w:p>
    <w:p/>
    <w:p>
      <w:r>
        <w:t>4.3 Multisig Governance</w:t>
      </w:r>
    </w:p>
    <w:p/>
    <w:p>
      <w:r>
        <w:t>Policy updates REQUIRE M‑of‑N signatures from:</w:t>
      </w:r>
    </w:p>
    <w:p/>
    <w:p>
      <w:r>
        <w:t>• Protocol operator</w:t>
      </w:r>
    </w:p>
    <w:p>
      <w:r>
        <w:t>• Independent auditor</w:t>
      </w:r>
    </w:p>
    <w:p>
      <w:r>
        <w:t>• Industry consortium representative</w:t>
      </w:r>
    </w:p>
    <w:p/>
    <w:p>
      <w:r>
        <w:t>Purpose:</w:t>
      </w:r>
    </w:p>
    <w:p>
      <w:r>
        <w:t>Prevents unilateral routing manipulation and establishes institutional trust.</w:t>
      </w:r>
    </w:p>
    <w:p/>
    <w:p>
      <w:r>
        <w:t>---</w:t>
      </w:r>
    </w:p>
    <w:p/>
    <w:p>
      <w:r>
        <w:t>5. POSITIONING CLAUSE</w:t>
      </w:r>
    </w:p>
    <w:p/>
    <w:p>
      <w:r>
        <w:t>LTV.com provides:</w:t>
      </w:r>
    </w:p>
    <w:p/>
    <w:p>
      <w:r>
        <w:t>• Canonical schema definitions</w:t>
      </w:r>
    </w:p>
    <w:p>
      <w:r>
        <w:t>• Transparency logging</w:t>
      </w:r>
    </w:p>
    <w:p>
      <w:r>
        <w:t>• Reference implementation surfaces</w:t>
      </w:r>
    </w:p>
    <w:p/>
    <w:p>
      <w:r>
        <w:t>Root‑of‑trust authority MAY be federated across consortium or public identity infrastructures.</w:t>
      </w:r>
    </w:p>
    <w:p/>
    <w:p>
      <w:r>
        <w:t>---</w:t>
      </w:r>
    </w:p>
    <w:p/>
    <w:p>
      <w:r>
        <w:t>END OF V1.1‑ALPHA PATCH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