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pPr>
        <w:pStyle w:val="Heading4"/>
      </w:pPr>
      <w:r>
        <w:t xml:space="preserve">Heading 4</w:t>
      </w:r>
    </w:p>
    <w:p>
      <w:pPr>
        <w:pStyle w:val="Heading5"/>
      </w:pPr>
      <w:r>
        <w:t xml:space="preserve">Heading 5</w:t>
      </w:r>
    </w:p>
    <w:p>
      <w:pPr>
        <w:pStyle w:val="Heading6"/>
      </w:pPr>
      <w:r>
        <w:t xml:space="preserve">Heading 6</w:t>
      </w:r>
    </w:p>
    <w:p>
      <w:r>
        <w:t xml:space="preserve">Written by the mock fixture catalogue. Every inline style the mammoth reader maps appears in the next paragraph.</w:t>
      </w:r>
    </w:p>
    <w:p>
      <w:r>
        <w:t xml:space="preserve">Inline: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b/>
          <w:i/>
        </w:rPr>
        <w:t xml:space="preserve">bold 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  <w:r>
        <w:t xml:space="preserve">, x</w:t>
      </w:r>
      <w:r>
        <w:rPr>
          <w:vertAlign w:val="superscript"/>
        </w:rPr>
        <w:t xml:space="preserve">2</w:t>
      </w:r>
      <w:r>
        <w:t xml:space="preserve">, H</w:t>
      </w:r>
      <w:r>
        <w:rPr>
          <w:vertAlign w:val="subscript"/>
        </w:rPr>
        <w:t xml:space="preserve">2</w:t>
      </w:r>
      <w:r>
        <w:t xml:space="preserve">O, </w:t>
      </w:r>
      <w:r>
        <w:rPr>
          <w:highlight w:val="yellow"/>
        </w:rPr>
        <w:t xml:space="preserve">highlighted</w:t>
      </w:r>
      <w:r>
        <w:t xml:space="preserve">, </w:t>
      </w:r>
      <w:r>
        <w:rPr>
          <w:color w:val="C00000"/>
        </w:rPr>
        <w:t xml:space="preserve">red text</w:t>
      </w:r>
      <w:r>
        <w:t xml:space="preserve">, </w:t>
      </w:r>
      <w:r>
        <w:rPr>
          <w:rFonts w:ascii="Courier New" w:hAnsi="Courier New"/>
        </w:rPr>
        <w:t xml:space="preserve">monospace</w:t>
      </w:r>
      <w:r>
        <w:t xml:space="preserve">.</w:t>
      </w:r>
    </w:p>
    <w:p>
      <w:pPr>
        <w:pStyle w:val="Heading3"/>
      </w:pPr>
      <w:r>
        <w:t xml:space="preserve">Bulleted list</w:t>
      </w:r>
    </w:p>
    <w:p>
      <w:pPr>
        <w:numPr>
          <w:ilvl w:val="0"/>
          <w:numId w:val="1"/>
        </w:numPr>
      </w:pPr>
      <w:r>
        <w:t>a bullet</w:t>
      </w:r>
    </w:p>
    <w:p>
      <w:pPr>
        <w:numPr>
          <w:ilvl w:val="0"/>
          <w:numId w:val="1"/>
        </w:numPr>
      </w:pPr>
      <w:r>
        <w:t>another bullet</w:t>
      </w:r>
    </w:p>
    <w:p>
      <w:pPr>
        <w:numPr>
          <w:ilvl w:val="1"/>
          <w:numId w:val="1"/>
        </w:numPr>
      </w:pPr>
      <w:r>
        <w:t>a nested bullet</w:t>
      </w:r>
    </w:p>
    <w:p>
      <w:pPr>
        <w:numPr>
          <w:ilvl w:val="2"/>
          <w:numId w:val="1"/>
        </w:numPr>
      </w:pPr>
      <w:r>
        <w:t>a deeper nested bullet</w:t>
      </w:r>
    </w:p>
    <w:p>
      <w:pPr>
        <w:numPr>
          <w:ilvl w:val="0"/>
          <w:numId w:val="1"/>
        </w:numPr>
      </w:pPr>
      <w:r>
        <w:t>back to the top level</w:t>
      </w:r>
    </w:p>
    <w:p>
      <w:pPr>
        <w:pStyle w:val="Heading3"/>
      </w:pPr>
      <w:r>
        <w:t xml:space="preserve">Numbered list</w:t>
      </w:r>
    </w:p>
    <w:p>
      <w:pPr>
        <w:numPr>
          <w:ilvl w:val="0"/>
          <w:numId w:val="2"/>
        </w:numPr>
      </w:pPr>
      <w:r>
        <w:t>first</w:t>
      </w:r>
    </w:p>
    <w:p>
      <w:pPr>
        <w:numPr>
          <w:ilvl w:val="0"/>
          <w:numId w:val="2"/>
        </w:numPr>
      </w:pPr>
      <w:r>
        <w:t>second</w:t>
      </w:r>
    </w:p>
    <w:p>
      <w:pPr>
        <w:numPr>
          <w:ilvl w:val="1"/>
          <w:numId w:val="2"/>
        </w:numPr>
      </w:pPr>
      <w:r>
        <w:t>a nested numbered item</w:t>
      </w:r>
    </w:p>
    <w:p>
      <w:pPr>
        <w:numPr>
          <w:ilvl w:val="0"/>
          <w:numId w:val="2"/>
        </w:numPr>
      </w:pPr>
      <w:r>
        <w:t>third</w:t>
      </w:r>
    </w:p>
    <w:p>
      <w:pPr>
        <w:pStyle w:val="Quote"/>
      </w:pPr>
      <w:r>
        <w:t xml:space="preserve">A quotation-style indented paragraph</w:t>
      </w:r>
    </w:p>
    <w:p>
      <w:r>
        <w:t xml:space="preserve">A link: </w:t>
      </w:r>
      <w:hyperlink r:id="rId1">
        <w:r>
          <w:rPr>
            <w:rStyle w:val="Hyperlink"/>
          </w:rPr>
          <w:t>Barok Works</w:t>
        </w:r>
      </w:hyperlink>
      <w:r>
        <w:t xml:space="preserve"> and text after it.</w:t>
      </w:r>
    </w:p>
    <w:p>
      <w:pPr>
        <w:pStyle w:val="Heading3"/>
      </w:pPr>
      <w:r>
        <w:t xml:space="preserve">A table with a bold header row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Coworker</w:t>
            </w:r>
          </w:p>
        </w:tc>
        <w:tc>
          <w:p>
            <w:r>
              <w:rPr>
                <w:b/>
              </w:rPr>
              <w:t xml:space="preserve">Model</w:t>
            </w:r>
          </w:p>
        </w:tc>
        <w:tc>
          <w:p>
            <w:r>
              <w:rPr>
                <w:b/>
              </w:rPr>
              <w:t xml:space="preserve">Turns</w:t>
            </w:r>
          </w:p>
        </w:tc>
      </w:tr>
      <w:tr>
        <w:tc>
          <w:p>
            <w:r>
              <w:t xml:space="preserve">DoorProbe</w:t>
            </w:r>
          </w:p>
        </w:tc>
        <w:tc>
          <w:p>
            <w:r>
              <w:t xml:space="preserve">gpt-5.5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Hexuria</w:t>
            </w:r>
          </w:p>
        </w:tc>
        <w:tc>
          <w:p>
            <w:r>
              <w:t xml:space="preserve">claude-sonnet-4.5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New chat</w:t>
            </w:r>
          </w:p>
        </w:tc>
        <w:tc>
          <w:p>
            <w:r>
              <w:t xml:space="preserve">grok-4.6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Page two</w:t>
      </w:r>
    </w:p>
    <w:p>
      <w:r>
        <w:t xml:space="preserve">If a page break is honoured, this heading starts a new page. Centred and right-aligned paragraphs follow.</w:t>
      </w:r>
    </w:p>
    <w:p>
      <w:pPr>
        <w:jc w:val="center"/>
      </w:pPr>
      <w:r>
        <w:t>Centred paragraph</w:t>
      </w:r>
    </w:p>
    <w:p>
      <w:pPr>
        <w:jc w:val="right"/>
      </w:pPr>
      <w:r>
        <w:t>Right-aligned paragraph</w:t>
      </w:r>
    </w:p>
    <w:p>
      <w:r>
        <w:t>A line</w:t>
      </w:r>
      <w:r>
        <w:br/>
      </w:r>
      <w:r>
        <w:t>with a hard break inside one paragraph.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yperlink" Target="https://example.com" TargetMode="External"/>
<Relationship Id="rId2" Type="http://schemas.openxmlformats.org/officeDocument/2006/relationships/numbering" Target="numbering.xml"/>
</Relationships>
</file>