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73587230"/>
        <w:bibliography/>
      </w:sdtPr>
      <w:sdtContent>
        <w:p w14:paraId="0C296827" w14:textId="13B817DB" w:rsidR="000D1874" w:rsidRPr="00B45525" w:rsidRDefault="00B45525" w:rsidP="00B45525">
          <w:pPr>
            <w:pStyle w:val="Heading1"/>
            <w:pBdr>
              <w:top w:val="thinThickSmallGap" w:sz="24" w:space="1" w:color="auto"/>
              <w:left w:val="thinThickSmallGap" w:sz="24" w:space="4" w:color="auto"/>
              <w:bottom w:val="thickThinSmallGap" w:sz="24" w:space="1" w:color="auto"/>
              <w:right w:val="thickThinSmallGap" w:sz="24" w:space="4" w:color="auto"/>
            </w:pBdr>
            <w:jc w:val="center"/>
            <w:rPr>
              <w:rFonts w:ascii="Bahnschrift Condensed" w:hAnsi="Bahnschrift Condensed"/>
              <w:color w:val="auto"/>
              <w:sz w:val="56"/>
              <w:szCs w:val="56"/>
            </w:rPr>
          </w:pPr>
          <w:r w:rsidRPr="00B45525">
            <w:rPr>
              <w:rFonts w:ascii="Bahnschrift Condensed" w:hAnsi="Bahnschrift Condensed"/>
              <w:color w:val="auto"/>
              <w:sz w:val="56"/>
              <w:szCs w:val="56"/>
            </w:rPr>
            <w:t>References</w:t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24"/>
              <w:szCs w:val="24"/>
            </w:rPr>
            <w:id w:val="-582834128"/>
            <w:docPartObj>
              <w:docPartGallery w:val="Bibliographies"/>
              <w:docPartUnique/>
            </w:docPartObj>
          </w:sdtPr>
          <w:sdtContent>
            <w:p w14:paraId="721893C3" w14:textId="26F70C5C" w:rsidR="000D1874" w:rsidRDefault="000D1874">
              <w:pPr>
                <w:pStyle w:val="Heading1"/>
              </w:pPr>
              <w:r>
                <w:t>References</w:t>
              </w:r>
            </w:p>
            <w:sdt>
              <w:sdtPr>
                <w:id w:val="1461374175"/>
                <w:bibliography/>
              </w:sdtPr>
              <w:sdtContent>
                <w:p w14:paraId="128A96A8" w14:textId="77777777" w:rsidR="000D1874" w:rsidRDefault="000D1874">
                  <w:pPr>
                    <w:rPr>
                      <w:noProof/>
                    </w:rPr>
                  </w:pPr>
                  <w:r>
                    <w:fldChar w:fldCharType="begin"/>
                  </w:r>
                  <w:r>
                    <w:instrText xml:space="preserve"> BIBLIOGRAPHY </w:instrText>
                  </w:r>
                  <w:r>
                    <w:fldChar w:fldCharType="separate"/>
                  </w:r>
                </w:p>
                <w:tbl>
                  <w:tblPr>
                    <w:tblW w:w="5000" w:type="pc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4"/>
                    <w:gridCol w:w="9016"/>
                  </w:tblGrid>
                  <w:tr w:rsidR="000D1874" w14:paraId="67C46FE0" w14:textId="77777777">
                    <w:trPr>
                      <w:divId w:val="1517377505"/>
                      <w:tblCellSpacing w:w="15" w:type="dxa"/>
                    </w:trPr>
                    <w:tc>
                      <w:tcPr>
                        <w:tcW w:w="50" w:type="pct"/>
                        <w:hideMark/>
                      </w:tcPr>
                      <w:p w14:paraId="6E332AAE" w14:textId="1CDAD784" w:rsidR="000D1874" w:rsidRDefault="000D1874">
                        <w:pPr>
                          <w:pStyle w:val="Bibliography"/>
                          <w:rPr>
                            <w:noProof/>
                            <w:kern w:val="0"/>
                            <w14:ligatures w14:val="none"/>
                          </w:rPr>
                        </w:pPr>
                        <w:r>
                          <w:rPr>
                            <w:noProof/>
                          </w:rPr>
                          <w:t xml:space="preserve">[1]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BF9587C" w14:textId="77777777" w:rsidR="000D1874" w:rsidRDefault="000D1874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E. de Aguiar, Animation and performance capture using digitized models, Springer Science &amp; Business Media, 2009. </w:t>
                        </w:r>
                      </w:p>
                    </w:tc>
                  </w:tr>
                  <w:tr w:rsidR="000D1874" w14:paraId="4A432E71" w14:textId="77777777">
                    <w:trPr>
                      <w:divId w:val="1517377505"/>
                      <w:tblCellSpacing w:w="15" w:type="dxa"/>
                    </w:trPr>
                    <w:tc>
                      <w:tcPr>
                        <w:tcW w:w="50" w:type="pct"/>
                        <w:hideMark/>
                      </w:tcPr>
                      <w:p w14:paraId="7604D49D" w14:textId="77777777" w:rsidR="000D1874" w:rsidRDefault="000D1874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[2]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25D8EFC" w14:textId="77777777" w:rsidR="000D1874" w:rsidRDefault="000D1874">
                        <w:pPr>
                          <w:rPr>
                            <w:noProof/>
                          </w:rPr>
                        </w:pPr>
                      </w:p>
                    </w:tc>
                  </w:tr>
                  <w:tr w:rsidR="000D1874" w14:paraId="6E8EE726" w14:textId="77777777">
                    <w:trPr>
                      <w:divId w:val="1517377505"/>
                      <w:tblCellSpacing w:w="15" w:type="dxa"/>
                    </w:trPr>
                    <w:tc>
                      <w:tcPr>
                        <w:tcW w:w="50" w:type="pct"/>
                        <w:hideMark/>
                      </w:tcPr>
                      <w:p w14:paraId="0E59772D" w14:textId="77777777" w:rsidR="000D1874" w:rsidRDefault="000D1874">
                        <w:pPr>
                          <w:pStyle w:val="Bibliography"/>
                          <w:rPr>
                            <w:rFonts w:eastAsiaTheme="minorEastAsia"/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[3]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93DAFD3" w14:textId="77777777" w:rsidR="000D1874" w:rsidRDefault="000D1874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D. &amp;. W. C. Hayes, Acting and performance for animation, Routledge, 2013. </w:t>
                        </w:r>
                      </w:p>
                    </w:tc>
                  </w:tr>
                  <w:tr w:rsidR="000D1874" w14:paraId="613BD2AA" w14:textId="77777777">
                    <w:trPr>
                      <w:divId w:val="1517377505"/>
                      <w:tblCellSpacing w:w="15" w:type="dxa"/>
                    </w:trPr>
                    <w:tc>
                      <w:tcPr>
                        <w:tcW w:w="50" w:type="pct"/>
                        <w:hideMark/>
                      </w:tcPr>
                      <w:p w14:paraId="7B46912A" w14:textId="77777777" w:rsidR="000D1874" w:rsidRDefault="000D1874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[4]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D3BFBE8" w14:textId="77777777" w:rsidR="000D1874" w:rsidRDefault="000D1874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M. &amp;. W. B. Kitagawa, MoCap for artists: Workflow and techniques for motion capture, Focal Press, 2008. </w:t>
                        </w:r>
                      </w:p>
                    </w:tc>
                  </w:tr>
                  <w:tr w:rsidR="000D1874" w14:paraId="6D34A435" w14:textId="77777777">
                    <w:trPr>
                      <w:divId w:val="1517377505"/>
                      <w:tblCellSpacing w:w="15" w:type="dxa"/>
                    </w:trPr>
                    <w:tc>
                      <w:tcPr>
                        <w:tcW w:w="50" w:type="pct"/>
                        <w:hideMark/>
                      </w:tcPr>
                      <w:p w14:paraId="4F0DA65D" w14:textId="77777777" w:rsidR="000D1874" w:rsidRDefault="000D1874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[5]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9B4191F" w14:textId="77777777" w:rsidR="000D1874" w:rsidRDefault="000D1874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R. Williams, The animator's survival kit, Faber and Faber, 2012. </w:t>
                        </w:r>
                      </w:p>
                    </w:tc>
                  </w:tr>
                  <w:tr w:rsidR="000D1874" w14:paraId="1A70AB93" w14:textId="77777777">
                    <w:trPr>
                      <w:divId w:val="1517377505"/>
                      <w:tblCellSpacing w:w="15" w:type="dxa"/>
                    </w:trPr>
                    <w:tc>
                      <w:tcPr>
                        <w:tcW w:w="50" w:type="pct"/>
                        <w:hideMark/>
                      </w:tcPr>
                      <w:p w14:paraId="178C7F51" w14:textId="77777777" w:rsidR="000D1874" w:rsidRDefault="000D1874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[6]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3FCF5DC" w14:textId="77777777" w:rsidR="000D1874" w:rsidRDefault="000D1874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C. Kim, "Facial motion capture system based on facial electromyogram and electrooculogram for immersive social virtual reality applications.," Vols. 23(7), 3580., p. 3580., 2023. </w:t>
                        </w:r>
                      </w:p>
                    </w:tc>
                  </w:tr>
                </w:tbl>
                <w:p w14:paraId="6F72F826" w14:textId="77777777" w:rsidR="000D1874" w:rsidRDefault="000D1874">
                  <w:pPr>
                    <w:divId w:val="1517377505"/>
                    <w:rPr>
                      <w:rFonts w:eastAsia="Times New Roman"/>
                      <w:noProof/>
                    </w:rPr>
                  </w:pPr>
                </w:p>
                <w:p w14:paraId="33E98D16" w14:textId="62991CE9" w:rsidR="000D1874" w:rsidRDefault="000D1874">
                  <w:r>
                    <w:rPr>
                      <w:b/>
                      <w:bCs/>
                      <w:noProof/>
                    </w:rPr>
                    <w:fldChar w:fldCharType="end"/>
                  </w:r>
                </w:p>
              </w:sdtContent>
            </w:sdt>
          </w:sdtContent>
        </w:sdt>
        <w:p w14:paraId="050864B9" w14:textId="4E7C2878" w:rsidR="000D1874" w:rsidRDefault="00000000" w:rsidP="000D1874">
          <w:pPr>
            <w:pStyle w:val="Heading1"/>
          </w:pPr>
        </w:p>
      </w:sdtContent>
    </w:sdt>
    <w:p w14:paraId="7196A75C" w14:textId="26C0ED00" w:rsidR="00CE762E" w:rsidRDefault="00CE762E"/>
    <w:sectPr w:rsidR="00CE762E" w:rsidSect="00B45525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D82"/>
    <w:rsid w:val="000B01E8"/>
    <w:rsid w:val="000D1874"/>
    <w:rsid w:val="004479F4"/>
    <w:rsid w:val="00533475"/>
    <w:rsid w:val="009E6D82"/>
    <w:rsid w:val="00A35FC3"/>
    <w:rsid w:val="00B45525"/>
    <w:rsid w:val="00CE762E"/>
    <w:rsid w:val="00D25245"/>
    <w:rsid w:val="00E05D1E"/>
    <w:rsid w:val="00ED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99C5"/>
  <w15:chartTrackingRefBased/>
  <w15:docId w15:val="{B8FB22E5-6A9F-4917-8459-A1E10CCF4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D82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0D18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9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deA09</b:Tag>
    <b:SourceType>Book</b:SourceType>
    <b:Guid>{B21A82BC-7053-4A58-A82B-33D6FCBCCFC5}</b:Guid>
    <b:Author>
      <b:Author>
        <b:NameList>
          <b:Person>
            <b:Last>de Aguiar</b:Last>
            <b:First>E.</b:First>
          </b:Person>
        </b:NameList>
      </b:Author>
    </b:Author>
    <b:Title>Animation and performance capture using digitized models</b:Title>
    <b:Year>2009</b:Year>
    <b:Publisher>Springer Science &amp; Business Media</b:Publisher>
    <b:RefOrder>1</b:RefOrder>
  </b:Source>
  <b:Source>
    <b:Tag>Placeholder1</b:Tag>
    <b:SourceType>Book</b:SourceType>
    <b:Guid>{B1B02F79-3C0C-43F2-A3B8-95E5386B5902}</b:Guid>
    <b:RefOrder>2</b:RefOrder>
  </b:Source>
  <b:Source>
    <b:Tag>Hay13</b:Tag>
    <b:SourceType>Book</b:SourceType>
    <b:Guid>{C2D2EFFB-8B9B-4E45-88FA-5D28BF9C7D05}</b:Guid>
    <b:Author>
      <b:Author>
        <b:NameList>
          <b:Person>
            <b:Last>Hayes</b:Last>
            <b:First>D.,</b:First>
            <b:Middle>&amp; Webster, C.</b:Middle>
          </b:Person>
        </b:NameList>
      </b:Author>
    </b:Author>
    <b:Title>Acting and performance for animation</b:Title>
    <b:Year>2013</b:Year>
    <b:Publisher>Routledge</b:Publisher>
    <b:RefOrder>3</b:RefOrder>
  </b:Source>
  <b:Source>
    <b:Tag>Kit08</b:Tag>
    <b:SourceType>Book</b:SourceType>
    <b:Guid>{650516AE-4BC1-4519-9A98-761A37E9896E}</b:Guid>
    <b:Author>
      <b:Author>
        <b:NameList>
          <b:Person>
            <b:Last>Kitagawa</b:Last>
            <b:First>M.,</b:First>
            <b:Middle>&amp; Windsor, B.</b:Middle>
          </b:Person>
        </b:NameList>
      </b:Author>
    </b:Author>
    <b:Title>MoCap for artists: Workflow and techniques for motion capture</b:Title>
    <b:Year>2008</b:Year>
    <b:Publisher>Focal Press</b:Publisher>
    <b:RefOrder>4</b:RefOrder>
  </b:Source>
  <b:Source>
    <b:Tag>Wil12</b:Tag>
    <b:SourceType>Book</b:SourceType>
    <b:Guid>{BBA53FAE-789E-41DD-A226-4BF8198255E2}</b:Guid>
    <b:Author>
      <b:Author>
        <b:NameList>
          <b:Person>
            <b:Last>Williams</b:Last>
            <b:First>R.</b:First>
          </b:Person>
        </b:NameList>
      </b:Author>
    </b:Author>
    <b:Title>The animator's survival kit</b:Title>
    <b:Year>2012</b:Year>
    <b:Publisher>Faber and Faber</b:Publisher>
    <b:RefOrder>5</b:RefOrder>
  </b:Source>
  <b:Source>
    <b:Tag>Kim23</b:Tag>
    <b:SourceType>JournalArticle</b:SourceType>
    <b:Guid>{7D6D3F1D-9644-474B-A95A-6666E2D205D6}</b:Guid>
    <b:Title>Facial motion capture system based on facial electromyogram and electrooculogram for immersive social virtual reality applications.</b:Title>
    <b:Year>2023</b:Year>
    <b:Author>
      <b:Author>
        <b:NameList>
          <b:Person>
            <b:Last>Kim</b:Last>
            <b:First>C.</b:First>
          </b:Person>
        </b:NameList>
      </b:Author>
    </b:Author>
    <b:Pages>3580.</b:Pages>
    <b:Volume>23(7), 3580.</b:Volume>
    <b:RefOrder>6</b:RefOrder>
  </b:Source>
</b:Sources>
</file>

<file path=customXml/itemProps1.xml><?xml version="1.0" encoding="utf-8"?>
<ds:datastoreItem xmlns:ds="http://schemas.openxmlformats.org/officeDocument/2006/customXml" ds:itemID="{FDA94FD4-9945-4DD5-9B13-74FB0BE51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3</cp:revision>
  <dcterms:created xsi:type="dcterms:W3CDTF">2025-10-07T07:50:00Z</dcterms:created>
  <dcterms:modified xsi:type="dcterms:W3CDTF">2025-10-07T08:03:00Z</dcterms:modified>
</cp:coreProperties>
</file>